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page">
                  <wp:posOffset>76200</wp:posOffset>
                </wp:positionH>
                <wp:positionV relativeFrom="paragraph">
                  <wp:posOffset>-691515</wp:posOffset>
                </wp:positionV>
                <wp:extent cx="7477125" cy="2038350"/>
                <wp:effectExtent l="0" t="0" r="9525" b="0"/>
                <wp:wrapNone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rcRect l="1889" t="-11009" r="3635" b="9161"/>
                        <a:stretch/>
                      </pic:blipFill>
                      <pic:spPr bwMode="auto">
                        <a:xfrm>
                          <a:off x="0" y="0"/>
                          <a:ext cx="7477125" cy="20383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page;margin-left:6.00pt;mso-position-horizontal:absolute;mso-position-vertical-relative:text;margin-top:-54.45pt;mso-position-vertical:absolute;width:588.75pt;height:160.50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r/>
      <w:r/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pPr w:horzAnchor="margin" w:tblpXSpec="left" w:vertAnchor="text" w:tblpY="-13" w:leftFromText="180" w:topFromText="0" w:rightFromText="180" w:bottomFromText="0"/>
        <w:tblW w:w="4804" w:type="pct"/>
        <w:tblLook w:val="04A0" w:firstRow="1" w:lastRow="0" w:firstColumn="1" w:lastColumn="0" w:noHBand="0" w:noVBand="1"/>
      </w:tblPr>
      <w:tblGrid>
        <w:gridCol w:w="1770"/>
        <w:gridCol w:w="419"/>
        <w:gridCol w:w="1803"/>
        <w:gridCol w:w="4996"/>
      </w:tblGrid>
      <w:tr>
        <w:tblPrEx/>
        <w:trPr>
          <w:trHeight w:val="80"/>
        </w:trPr>
        <w:tc>
          <w:tcPr>
            <w:shd w:val="clear" w:color="auto" w:fill="auto"/>
            <w:tcBorders>
              <w:bottom w:val="single" w:color="auto" w:sz="4" w:space="0"/>
            </w:tcBorders>
            <w:tcW w:w="985" w:type="pct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F Din Text Cond Pro Light" w:hAnsi="PF Din Text Cond Pro Light"/>
                <w:sz w:val="20"/>
                <w:szCs w:val="20"/>
                <w:highlight w:val="none"/>
              </w:rPr>
            </w:pPr>
            <w:r>
              <w:rPr>
                <w:rFonts w:ascii="PF Din Text Cond Pro Light" w:hAnsi="PF Din Text Cond Pro Light"/>
                <w:sz w:val="20"/>
                <w:szCs w:val="20"/>
                <w:highlight w:val="none"/>
              </w:rPr>
              <w:t xml:space="preserve">от</w:t>
            </w:r>
            <w:r>
              <w:rPr>
                <w:rFonts w:ascii="PF Din Text Cond Pro Light" w:hAnsi="PF Din Text Cond Pro Light"/>
                <w:sz w:val="20"/>
                <w:szCs w:val="20"/>
                <w:highlight w:val="none"/>
              </w:rPr>
              <w:t xml:space="preserve"> 16.10.2026 </w:t>
            </w:r>
            <w:r>
              <w:rPr>
                <w:rFonts w:ascii="PF Din Text Cond Pro Light" w:hAnsi="PF Din Text Cond Pro Light"/>
                <w:sz w:val="20"/>
                <w:szCs w:val="20"/>
                <w:highlight w:val="none"/>
              </w:rPr>
            </w:r>
            <w:r>
              <w:rPr>
                <w:rFonts w:ascii="PF Din Text Cond Pro Light" w:hAnsi="PF Din Text Cond Pro Light"/>
                <w:sz w:val="20"/>
                <w:szCs w:val="20"/>
                <w:highlight w:val="none"/>
              </w:rPr>
            </w:r>
          </w:p>
        </w:tc>
        <w:tc>
          <w:tcPr>
            <w:shd w:val="clear" w:color="auto" w:fill="auto"/>
            <w:tcW w:w="233" w:type="pct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F Din Text Cond Pro Light" w:hAnsi="PF Din Text Cond Pro Light"/>
                <w:sz w:val="20"/>
                <w:szCs w:val="20"/>
                <w:highlight w:val="none"/>
              </w:rPr>
            </w:pPr>
            <w:r>
              <w:rPr>
                <w:rFonts w:ascii="PF Din Text Cond Pro Light" w:hAnsi="PF Din Text Cond Pro Light"/>
                <w:sz w:val="20"/>
                <w:szCs w:val="20"/>
                <w:highlight w:val="none"/>
              </w:rPr>
            </w:r>
            <w:r>
              <w:rPr>
                <w:rFonts w:ascii="PF Din Text Cond Pro Light" w:hAnsi="PF Din Text Cond Pro Light"/>
                <w:sz w:val="20"/>
                <w:szCs w:val="20"/>
                <w:highlight w:val="none"/>
              </w:rPr>
            </w:r>
            <w:r>
              <w:rPr>
                <w:rFonts w:ascii="PF Din Text Cond Pro Light" w:hAnsi="PF Din Text Cond Pro Light"/>
                <w:sz w:val="20"/>
                <w:szCs w:val="20"/>
                <w:highlight w:val="none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1003" w:type="pct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PF Din Text Cond Pro Light" w:hAnsi="PF Din Text Cond Pro Light"/>
                <w:sz w:val="20"/>
                <w:szCs w:val="20"/>
                <w:highlight w:val="none"/>
              </w:rPr>
            </w:pPr>
            <w:r>
              <w:rPr>
                <w:rFonts w:ascii="PF Din Text Cond Pro Light" w:hAnsi="PF Din Text Cond Pro Light"/>
                <w:sz w:val="20"/>
                <w:szCs w:val="20"/>
                <w:highlight w:val="none"/>
              </w:rPr>
              <w:t xml:space="preserve">№ </w:t>
            </w:r>
            <w:r>
              <w:rPr>
                <w:rFonts w:ascii="PF Din Text Cond Pro Light" w:hAnsi="PF Din Text Cond Pro Light"/>
                <w:sz w:val="20"/>
                <w:szCs w:val="20"/>
                <w:highlight w:val="none"/>
              </w:rPr>
              <w:t xml:space="preserve">РЦЗ/КР/640</w:t>
            </w:r>
            <w:r>
              <w:rPr>
                <w:rFonts w:ascii="PF Din Text Cond Pro Light" w:hAnsi="PF Din Text Cond Pro Light"/>
                <w:sz w:val="20"/>
                <w:szCs w:val="20"/>
                <w:highlight w:val="none"/>
              </w:rPr>
            </w:r>
            <w:r>
              <w:rPr>
                <w:rFonts w:ascii="PF Din Text Cond Pro Light" w:hAnsi="PF Din Text Cond Pro Light"/>
                <w:sz w:val="20"/>
                <w:szCs w:val="20"/>
                <w:highlight w:val="none"/>
              </w:rPr>
            </w:r>
          </w:p>
        </w:tc>
        <w:tc>
          <w:tcPr>
            <w:tcW w:w="2779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PF Din Text Cond Pro Light" w:hAnsi="PF Din Text Cond Pro Light"/>
                <w:sz w:val="20"/>
                <w:szCs w:val="20"/>
                <w:highlight w:val="none"/>
              </w:rPr>
            </w:pPr>
            <w:r>
              <w:rPr>
                <w:rFonts w:ascii="PF Din Text Cond Pro Light" w:hAnsi="PF Din Text Cond Pro Light"/>
                <w:sz w:val="20"/>
                <w:szCs w:val="20"/>
                <w:highlight w:val="none"/>
              </w:rPr>
            </w:r>
            <w:r>
              <w:rPr>
                <w:rFonts w:ascii="PF Din Text Cond Pro Light" w:hAnsi="PF Din Text Cond Pro Light"/>
                <w:sz w:val="20"/>
                <w:szCs w:val="20"/>
                <w:highlight w:val="none"/>
              </w:rPr>
            </w:r>
            <w:r>
              <w:rPr>
                <w:rFonts w:ascii="PF Din Text Cond Pro Light" w:hAnsi="PF Din Text Cond Pro Light"/>
                <w:sz w:val="20"/>
                <w:szCs w:val="20"/>
                <w:highlight w:val="non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  <w:t xml:space="preserve">Извещени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  <w:t xml:space="preserve">о проведении конкурса в электронной форме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  <w:t xml:space="preserve">№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lang w:eastAsia="ru-RU"/>
        </w:rPr>
        <w:t xml:space="preserve">4065999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none"/>
          <w14:ligatures w14:val="none"/>
        </w:rPr>
      </w:pPr>
      <w:r>
        <w:rPr>
          <w:rFonts w:ascii="Times New Roman" w:hAnsi="Times New Roman" w:cs="Times New Roman"/>
          <w:b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14:ligatures w14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АО «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Россети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Центр закупок», (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eastAsia="ru-RU"/>
        </w:rPr>
        <w:t xml:space="preserve">далее - Организатор), являющееся Организатором закупки, настоящим приглашает к участию в конкурсе в электронной форме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eastAsia="ru-RU"/>
        </w:rPr>
        <w:t xml:space="preserve">на право заключения договора на выполнение работ развитию автоматизированной системы управления персоналом (АСУП) в Публичном акционерном обществе «Федеральная сетевая компания - Россети»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eastAsia="ru-RU"/>
        </w:rPr>
        <w:t xml:space="preserve">.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  <w14:ligatures w14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sz w:val="22"/>
          <w:szCs w:val="22"/>
          <w:highlight w:val="none"/>
          <w14:ligatures w14:val="none"/>
        </w:rPr>
      </w:r>
    </w:p>
    <w:tbl>
      <w:tblPr>
        <w:tblW w:w="94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3401"/>
        <w:gridCol w:w="6097"/>
      </w:tblGrid>
      <w:tr>
        <w:tblPrEx/>
        <w:trPr>
          <w:trHeight w:val="427"/>
        </w:trPr>
        <w:tc>
          <w:tcPr>
            <w:shd w:val="clear" w:color="ffffff" w:fill="ffffff"/>
            <w:tcW w:w="3401" w:type="dxa"/>
            <w:textDirection w:val="lrTb"/>
            <w:noWrap w:val="false"/>
          </w:tcPr>
          <w:p>
            <w:pPr>
              <w:pStyle w:val="877"/>
              <w:contextualSpacing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Способ осуществления закупки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Конкурс в электронной форме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15"/>
        </w:trPr>
        <w:tc>
          <w:tcPr>
            <w:shd w:val="clear" w:color="ffffff" w:fill="ffffff"/>
            <w:tcW w:w="3401" w:type="dxa"/>
            <w:textDirection w:val="lrTb"/>
            <w:noWrap w:val="false"/>
          </w:tcPr>
          <w:p>
            <w:pPr>
              <w:pStyle w:val="877"/>
              <w:contextualSpacing/>
              <w:jc w:val="both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Наименование, место нахождения, почтовый адрес, адрес электронной почты, номер контактного телефона Заказчика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  <w14:ligatures w14:val="none"/>
              </w:rPr>
              <w:t xml:space="preserve">Наименование Заказчика: 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  <w14:ligatures w14:val="none"/>
              </w:rPr>
              <w:t xml:space="preserve">Публичное акционерное общество «Федеральная сетевая компания – Россети»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  <w14:ligatures w14:val="none"/>
              </w:rPr>
              <w:t xml:space="preserve">Место нахождения и почтовый адрес Заказчика: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  <w14:ligatures w14:val="none"/>
              </w:rPr>
              <w:t xml:space="preserve">121353, г. Москва, вн. тер. г. муниципальный округ Можайский, ул. Беловежская, д. 4.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  <w14:ligatures w14:val="none"/>
              </w:rPr>
              <w:t xml:space="preserve">E-mail: info@fsk-ees.ru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  <w14:ligatures w14:val="none"/>
              </w:rPr>
              <w:t xml:space="preserve">Тел.: 8-800-200-18-81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  <w14:ligatures w14:val="none"/>
              </w:rPr>
            </w:r>
          </w:p>
        </w:tc>
      </w:tr>
      <w:tr>
        <w:tblPrEx/>
        <w:trPr>
          <w:trHeight w:val="699"/>
        </w:trPr>
        <w:tc>
          <w:tcPr>
            <w:shd w:val="clear" w:color="ffffff" w:fill="ffffff"/>
            <w:tcW w:w="3401" w:type="dxa"/>
            <w:textDirection w:val="lrTb"/>
            <w:noWrap w:val="false"/>
          </w:tcPr>
          <w:p>
            <w:pPr>
              <w:pStyle w:val="877"/>
              <w:contextualSpacing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Наименование, место нахождения, почтовый адрес, адрес электронной почты, номер контактного телефона Организатора закупки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contextualSpacing/>
              <w:keepLines/>
              <w:spacing w:after="120" w:line="240" w:lineRule="auto"/>
              <w:widowControl w:val="off"/>
              <w:rPr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 xml:space="preserve">Организатор закупки: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keepLines/>
              <w:spacing w:after="120" w:line="240" w:lineRule="auto"/>
              <w:widowControl w:val="off"/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Акционерное общество «Россети Центр закупок»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keepLines/>
              <w:spacing w:after="120" w:line="240" w:lineRule="auto"/>
              <w:widowControl w:val="off"/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Место нахождения и почтовый адрес Организатора: 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keepLines/>
              <w:spacing w:after="120" w:line="240" w:lineRule="auto"/>
              <w:widowControl w:val="off"/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121353, г. Москва, вн. тер. г. муниципальный округ Можайский, ул. Беловежская, д. 4.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keepLines/>
              <w:spacing w:after="120" w:line="240" w:lineRule="auto"/>
              <w:widowControl w:val="off"/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E-mail: info@rosseti-zakupki.ru  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keepLines/>
              <w:spacing w:after="120" w:line="240" w:lineRule="auto"/>
              <w:widowControl w:val="off"/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Тел.: +7 (495) 710-9333, доб. 30-10, 30-14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keepLines/>
              <w:spacing w:after="120" w:line="240" w:lineRule="auto"/>
              <w:widowControl w:val="off"/>
              <w:rPr>
                <w:b/>
                <w:bCs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 xml:space="preserve">Контактное лицо Организатора: 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contextualSpacing/>
              <w:keepLines/>
              <w:spacing w:after="12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Кириллова Анна Андреевна, специалист по конкурентным закупкам II категории направления проведения закупочных процедур АО «Россети Центр закупок», E-mail: kirillova@rosseti-zakupki.ru ,  Тел.: (495) 710-93-33, доб. 30-07.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58"/>
        </w:trPr>
        <w:tc>
          <w:tcPr>
            <w:shd w:val="clear" w:color="ffffff" w:fill="ffffff"/>
            <w:tcW w:w="3401" w:type="dxa"/>
            <w:textDirection w:val="lrTb"/>
            <w:noWrap w:val="false"/>
          </w:tcPr>
          <w:p>
            <w:pPr>
              <w:contextualSpacing/>
              <w:jc w:val="both"/>
              <w:keepLines/>
              <w:spacing w:after="0" w:line="240" w:lineRule="auto"/>
              <w:widowControl w:val="off"/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none"/>
              </w:rPr>
              <w:t xml:space="preserve">Предмет закупки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contextualSpacing/>
              <w:keepLines/>
              <w:spacing w:after="120"/>
              <w:widowControl w:val="off"/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Право заключения договора на выполнение работ развитию автоматизированной системы управления персоналом (АСУП) в Публичном акционерном обществе «Федеральная сетевая компания - Россети».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keepLines/>
              <w:spacing w:after="120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Описание предмета закупки в соответствии с частью 6.1 статьи 3 Закона 223-ФЗ установлено в части V «Техническая часть» документации о закупке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696"/>
        </w:trPr>
        <w:tc>
          <w:tcPr>
            <w:shd w:val="clear" w:color="ffffff" w:fill="ffffff"/>
            <w:tcW w:w="3401" w:type="dxa"/>
            <w:textDirection w:val="lrTb"/>
            <w:noWrap w:val="false"/>
          </w:tcPr>
          <w:p>
            <w:pPr>
              <w:pStyle w:val="877"/>
              <w:contextualSpacing/>
              <w:jc w:val="both"/>
              <w:spacing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2"/>
                <w:szCs w:val="22"/>
                <w:highlight w:val="none"/>
              </w:rPr>
              <w:t xml:space="preserve">Место, условия и сроки (периоды) поставки товара, выполнения работы, оказания услуги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highlight w:val="none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contextualSpacing/>
              <w:ind w:right="6"/>
              <w:keepLines/>
              <w:spacing w:before="120" w:after="120"/>
              <w:shd w:val="clear" w:color="auto" w:fill="ffffff"/>
              <w:widowControl w:val="off"/>
              <w:rPr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Место выполнения работ: по месту нахождения Заказчика.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contextualSpacing/>
              <w:ind w:right="6"/>
              <w:keepLines/>
              <w:spacing w:before="120" w:after="120"/>
              <w:shd w:val="clear" w:color="auto" w:fill="ffffff"/>
              <w:widowControl w:val="off"/>
              <w:rPr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Сроки выполнения работ: не более 12 месяцев с даты заключения Договора.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contextualSpacing/>
              <w:ind w:right="6"/>
              <w:keepLines/>
              <w:spacing w:before="120" w:after="120"/>
              <w:shd w:val="clear" w:color="auto" w:fill="ffffff"/>
              <w:widowControl w:val="off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Условия выполнения работ указаны в части IV «Проект договора» настоящей документации о закупке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bottom w:val="single" w:color="000000" w:sz="4" w:space="0"/>
            </w:tcBorders>
            <w:tcW w:w="3401" w:type="dxa"/>
            <w:textDirection w:val="lrTb"/>
            <w:noWrap w:val="false"/>
          </w:tcPr>
          <w:p>
            <w:pPr>
              <w:pStyle w:val="877"/>
              <w:contextualSpacing/>
              <w:jc w:val="both"/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none"/>
              </w:rPr>
              <w:t xml:space="preserve">Сведения о начальной (максимальной) цене договора, либо формула цены, и максимальное значение цены договора, либо цена единицы товара, работы, услуги и максимальное значение цены договора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r>
          </w:p>
        </w:tc>
        <w:tc>
          <w:tcPr>
            <w:tcBorders>
              <w:bottom w:val="single" w:color="000000" w:sz="4" w:space="0"/>
            </w:tcBorders>
            <w:tcW w:w="6097" w:type="dxa"/>
            <w:textDirection w:val="lrTb"/>
            <w:noWrap w:val="false"/>
          </w:tcPr>
          <w:p>
            <w:pPr>
              <w:contextualSpacing/>
              <w:tabs>
                <w:tab w:val="left" w:pos="110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Начальная (максимальная) цена договора составляет: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contextualSpacing/>
              <w:tabs>
                <w:tab w:val="left" w:pos="110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</w:t>
              <w:tab/>
              <w:t xml:space="preserve">140 484 952,00 руб. с НДС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contextualSpacing/>
              <w:tabs>
                <w:tab w:val="left" w:pos="110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</w:t>
              <w:tab/>
              <w:t xml:space="preserve">115 151 600,00 руб. без НДС (22*)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contextualSpacing/>
              <w:tabs>
                <w:tab w:val="left" w:pos="110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* 22% - это максимальный размер ставки НДС, который в соответствии с НК РФ начисляется на продукцию, являющуюся предметом закупки, при ее реализации на территории РФ. Размер ставки НДС подлежит уточнению в договоре, заключаемом по итогам закупки, с учетом 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системы налогообложения, применяемой победителем закупки.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contextualSpacing/>
              <w:tabs>
                <w:tab w:val="left" w:pos="110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Н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ачальная (максимальная) цена договора включает в себя все затраты Исполнителя, связанные с исполнением Договора, в том числе, налоги, сборы, платежи, таможенные пошлины, другие обязательные отчисления, которые производятся Исполнителем в соответствии с уст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ановленным законодательством Российской Федерации порядком, иные возможные затраты.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contextualSpacing/>
              <w:tabs>
                <w:tab w:val="left" w:pos="110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Размер налогов указывается в соответствии с применяемой участником системой налогообложения, либо делается пометка, что НДС не облагается.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contextualSpacing/>
              <w:tabs>
                <w:tab w:val="left" w:pos="1100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Все расходы должны быть включены в расценки и общую цену заявки, представленной участником закупки.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81"/>
        </w:trPr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3401" w:type="dxa"/>
            <w:textDirection w:val="lrTb"/>
            <w:noWrap w:val="false"/>
          </w:tcPr>
          <w:p>
            <w:pPr>
              <w:pStyle w:val="877"/>
              <w:contextualSpacing/>
              <w:jc w:val="both"/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none"/>
              </w:rPr>
              <w:t xml:space="preserve">Срок, место и порядок предоставления документации о закупке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97" w:type="dxa"/>
            <w:textDirection w:val="lrTb"/>
            <w:noWrap w:val="false"/>
          </w:tcPr>
          <w:p>
            <w:pPr>
              <w:pStyle w:val="877"/>
              <w:contextualSpacing/>
              <w:jc w:val="both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Документация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о закупке в полном объеме в электронном виде безвозмездно доступна для ознакомления на официальном сайте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 Единой информационной системы в сфере закупок (далее - ЕИС) www.zakupki.gov.ru, а также на сайте Электронной площадки (далее – ЭП) </w:t>
            </w:r>
            <w:hyperlink r:id="rId11" w:tooltip="http://rts-tender.ru/" w:history="1">
              <w:r>
                <w:rPr>
                  <w:rStyle w:val="853"/>
                  <w:rFonts w:ascii="Times New Roman" w:hAnsi="Times New Roman" w:eastAsia="Times New Roman" w:cs="Times New Roman"/>
                  <w:sz w:val="22"/>
                  <w:szCs w:val="22"/>
                  <w:highlight w:val="none"/>
                  <w:lang w:val="en-US"/>
                </w:rPr>
                <w:t xml:space="preserve">http</w:t>
              </w:r>
              <w:r>
                <w:rPr>
                  <w:rStyle w:val="853"/>
                  <w:rFonts w:ascii="Times New Roman" w:hAnsi="Times New Roman" w:eastAsia="Times New Roman" w:cs="Times New Roman"/>
                  <w:sz w:val="22"/>
                  <w:szCs w:val="22"/>
                  <w:highlight w:val="none"/>
                </w:rPr>
                <w:t xml:space="preserve">://</w:t>
              </w:r>
              <w:r>
                <w:rPr>
                  <w:rStyle w:val="853"/>
                  <w:rFonts w:ascii="Times New Roman" w:hAnsi="Times New Roman" w:eastAsia="Times New Roman" w:cs="Times New Roman"/>
                  <w:sz w:val="22"/>
                  <w:szCs w:val="22"/>
                  <w:highlight w:val="none"/>
                  <w:lang w:val="en-US"/>
                </w:rPr>
                <w:t xml:space="preserve">rts</w:t>
              </w:r>
              <w:r>
                <w:rPr>
                  <w:rStyle w:val="853"/>
                  <w:rFonts w:ascii="Times New Roman" w:hAnsi="Times New Roman" w:eastAsia="Times New Roman" w:cs="Times New Roman"/>
                  <w:sz w:val="22"/>
                  <w:szCs w:val="22"/>
                  <w:highlight w:val="none"/>
                </w:rPr>
                <w:t xml:space="preserve">-</w:t>
              </w:r>
              <w:r>
                <w:rPr>
                  <w:rStyle w:val="853"/>
                  <w:rFonts w:ascii="Times New Roman" w:hAnsi="Times New Roman" w:eastAsia="Times New Roman" w:cs="Times New Roman"/>
                  <w:sz w:val="22"/>
                  <w:szCs w:val="22"/>
                  <w:highlight w:val="none"/>
                  <w:lang w:val="en-US"/>
                </w:rPr>
                <w:t xml:space="preserve">tender</w:t>
              </w:r>
              <w:r>
                <w:rPr>
                  <w:rStyle w:val="853"/>
                  <w:rFonts w:ascii="Times New Roman" w:hAnsi="Times New Roman" w:eastAsia="Times New Roman" w:cs="Times New Roman"/>
                  <w:sz w:val="22"/>
                  <w:szCs w:val="22"/>
                  <w:highlight w:val="none"/>
                </w:rPr>
                <w:t xml:space="preserve">.</w:t>
              </w:r>
              <w:r>
                <w:rPr>
                  <w:rStyle w:val="853"/>
                  <w:rFonts w:ascii="Times New Roman" w:hAnsi="Times New Roman" w:eastAsia="Times New Roman" w:cs="Times New Roman"/>
                  <w:sz w:val="22"/>
                  <w:szCs w:val="22"/>
                  <w:highlight w:val="none"/>
                  <w:lang w:val="en-US"/>
                </w:rPr>
                <w:t xml:space="preserve">ru</w:t>
              </w:r>
              <w:r>
                <w:rPr>
                  <w:rStyle w:val="853"/>
                  <w:rFonts w:ascii="Times New Roman" w:hAnsi="Times New Roman" w:eastAsia="Times New Roman" w:cs="Times New Roman"/>
                  <w:sz w:val="22"/>
                  <w:szCs w:val="22"/>
                  <w:highlight w:val="none"/>
                </w:rPr>
                <w:t xml:space="preserve">/</w:t>
              </w:r>
            </w:hyperlink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 начиная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 с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«16» октября 2026 г. 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58"/>
        </w:trPr>
        <w:tc>
          <w:tcPr>
            <w:shd w:val="clear" w:color="ffffff" w:fill="ffffff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3401" w:type="dxa"/>
            <w:textDirection w:val="lrTb"/>
            <w:noWrap w:val="false"/>
          </w:tcPr>
          <w:p>
            <w:pPr>
              <w:pStyle w:val="877"/>
              <w:contextualSpacing/>
              <w:jc w:val="both"/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none"/>
              </w:rPr>
              <w:t xml:space="preserve">Порядок, дата начала, дата и время окончания срока подачи заявок на участие в закупке (этапах закупки) и порядок подведения итогов закупки (этапов закупки)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97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  <w:t xml:space="preserve">Заявка подается в электронной форме с использованием функционала и в соответствии с Регламентом работы ЭП.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  <w:t xml:space="preserve">Сроки подачи заявок: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  <w:t xml:space="preserve">Дата начала срока подачи заявок:  «16» октября 2026 г.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  <w:t xml:space="preserve">Дата и время окончания срока, последний день срока подачи Заявок: «02» ноября 2026 г.  12:00 (время московское)</w:t>
            </w:r>
            <w:r>
              <w:rPr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  <w:t xml:space="preserve">Открытие доступа к заявкам «02» ноября 2026 г. 12:00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  <w:t xml:space="preserve">(время московское)</w:t>
            </w:r>
            <w:r>
              <w:rPr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  <w:t xml:space="preserve">Рассмотрение заявок: 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  <w:t xml:space="preserve">Дата проведения этапа: не позднее «12» ноября 2026 г.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  <w:t xml:space="preserve">Шаг переторжки – 983 000,00 рублей.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  <w:t xml:space="preserve">Подведение итогов: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  <w:t xml:space="preserve">Дата проведения этапа: не позднее «19» ноября 2026 г. 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  <w:t xml:space="preserve">Сроки проведения этапов, осуществляемых после окончания срока подачи заявок, могут быть изменены по решению Закупочной комиссии.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  <w:t xml:space="preserve">Порядок проведения этапов закупки установлен в подразделе 5 части I «ОБЩИЕ УСЛОВИЯ ПРОВЕДЕНИЯ ЗАКУПКИ» документации о закупке.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77"/>
              <w:contextualSpacing/>
              <w:jc w:val="both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665"/>
        </w:trPr>
        <w:tc>
          <w:tcPr>
            <w:shd w:val="clear" w:color="ffffff" w:fill="ffffff"/>
            <w:tcBorders>
              <w:top w:val="single" w:color="000000" w:sz="4" w:space="0"/>
            </w:tcBorders>
            <w:tcW w:w="3401" w:type="dxa"/>
            <w:textDirection w:val="lrTb"/>
            <w:noWrap w:val="false"/>
          </w:tcPr>
          <w:p>
            <w:pPr>
              <w:pStyle w:val="877"/>
              <w:contextualSpacing/>
              <w:jc w:val="both"/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none"/>
              </w:rPr>
              <w:t xml:space="preserve">Адрес электронной площадки в информационно-телекоммуникационной сети «Интернет»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</w:tcBorders>
            <w:tcW w:w="6097" w:type="dxa"/>
            <w:textDirection w:val="lrTb"/>
            <w:noWrap w:val="false"/>
          </w:tcPr>
          <w:p>
            <w:pPr>
              <w:pStyle w:val="877"/>
              <w:contextualSpacing/>
              <w:jc w:val="both"/>
              <w:spacing w:line="240" w:lineRule="auto"/>
              <w:rPr>
                <w:rFonts w:ascii="Times New Roman" w:hAnsi="Times New Roman" w:cs="Times New Roman"/>
                <w:color w:val="0000ff"/>
                <w:sz w:val="22"/>
                <w:szCs w:val="22"/>
                <w:highlight w:val="none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hyperlink r:id="rId12" w:tooltip="http://rts-tender.ru/" w:history="1">
              <w:r>
                <w:rPr>
                  <w:rStyle w:val="853"/>
                  <w:rFonts w:ascii="Times New Roman" w:hAnsi="Times New Roman" w:eastAsia="Times New Roman" w:cs="Times New Roman"/>
                  <w:sz w:val="22"/>
                  <w:szCs w:val="22"/>
                  <w:highlight w:val="none"/>
                  <w:lang w:val="en-US"/>
                </w:rPr>
                <w:t xml:space="preserve">http</w:t>
              </w:r>
              <w:r>
                <w:rPr>
                  <w:rStyle w:val="853"/>
                  <w:rFonts w:ascii="Times New Roman" w:hAnsi="Times New Roman" w:eastAsia="Times New Roman" w:cs="Times New Roman"/>
                  <w:sz w:val="22"/>
                  <w:szCs w:val="22"/>
                  <w:highlight w:val="none"/>
                </w:rPr>
                <w:t xml:space="preserve">://</w:t>
              </w:r>
              <w:r>
                <w:rPr>
                  <w:rStyle w:val="853"/>
                  <w:rFonts w:ascii="Times New Roman" w:hAnsi="Times New Roman" w:eastAsia="Times New Roman" w:cs="Times New Roman"/>
                  <w:sz w:val="22"/>
                  <w:szCs w:val="22"/>
                  <w:highlight w:val="none"/>
                  <w:lang w:val="en-US"/>
                </w:rPr>
                <w:t xml:space="preserve">rts</w:t>
              </w:r>
              <w:r>
                <w:rPr>
                  <w:rStyle w:val="853"/>
                  <w:rFonts w:ascii="Times New Roman" w:hAnsi="Times New Roman" w:eastAsia="Times New Roman" w:cs="Times New Roman"/>
                  <w:sz w:val="22"/>
                  <w:szCs w:val="22"/>
                  <w:highlight w:val="none"/>
                </w:rPr>
                <w:t xml:space="preserve">-</w:t>
              </w:r>
              <w:r>
                <w:rPr>
                  <w:rStyle w:val="853"/>
                  <w:rFonts w:ascii="Times New Roman" w:hAnsi="Times New Roman" w:eastAsia="Times New Roman" w:cs="Times New Roman"/>
                  <w:sz w:val="22"/>
                  <w:szCs w:val="22"/>
                  <w:highlight w:val="none"/>
                  <w:lang w:val="en-US"/>
                </w:rPr>
                <w:t xml:space="preserve">tender</w:t>
              </w:r>
              <w:r>
                <w:rPr>
                  <w:rStyle w:val="853"/>
                  <w:rFonts w:ascii="Times New Roman" w:hAnsi="Times New Roman" w:eastAsia="Times New Roman" w:cs="Times New Roman"/>
                  <w:sz w:val="22"/>
                  <w:szCs w:val="22"/>
                  <w:highlight w:val="none"/>
                </w:rPr>
                <w:t xml:space="preserve">.</w:t>
              </w:r>
              <w:r>
                <w:rPr>
                  <w:rStyle w:val="853"/>
                  <w:rFonts w:ascii="Times New Roman" w:hAnsi="Times New Roman" w:eastAsia="Times New Roman" w:cs="Times New Roman"/>
                  <w:sz w:val="22"/>
                  <w:szCs w:val="22"/>
                  <w:highlight w:val="none"/>
                  <w:lang w:val="en-US"/>
                </w:rPr>
                <w:t xml:space="preserve">ru</w:t>
              </w:r>
              <w:r>
                <w:rPr>
                  <w:rStyle w:val="853"/>
                  <w:rFonts w:ascii="Times New Roman" w:hAnsi="Times New Roman" w:eastAsia="Times New Roman" w:cs="Times New Roman"/>
                  <w:sz w:val="22"/>
                  <w:szCs w:val="22"/>
                  <w:highlight w:val="none"/>
                </w:rPr>
                <w:t xml:space="preserve">/</w:t>
              </w:r>
            </w:hyperlink>
            <w:r>
              <w:rPr>
                <w:rFonts w:ascii="Times New Roman" w:hAnsi="Times New Roman" w:cs="Times New Roman"/>
                <w:color w:val="0000ff"/>
                <w:sz w:val="22"/>
                <w:szCs w:val="22"/>
                <w:highlight w:val="none"/>
                <w:u w:val="single"/>
              </w:rPr>
            </w:r>
            <w:r>
              <w:rPr>
                <w:rFonts w:ascii="Times New Roman" w:hAnsi="Times New Roman" w:cs="Times New Roman"/>
                <w:color w:val="0000ff"/>
                <w:sz w:val="22"/>
                <w:szCs w:val="22"/>
                <w:highlight w:val="none"/>
                <w:u w:val="single"/>
              </w:rPr>
            </w:r>
          </w:p>
        </w:tc>
      </w:tr>
      <w:tr>
        <w:tblPrEx/>
        <w:trPr>
          <w:trHeight w:val="132"/>
        </w:trPr>
        <w:tc>
          <w:tcPr>
            <w:shd w:val="clear" w:color="ffffff" w:fill="ffffff"/>
            <w:tcBorders>
              <w:top w:val="single" w:color="000000" w:sz="4" w:space="0"/>
            </w:tcBorders>
            <w:tcW w:w="3401" w:type="dxa"/>
            <w:textDirection w:val="lrTb"/>
            <w:noWrap w:val="false"/>
          </w:tcPr>
          <w:p>
            <w:pPr>
              <w:pStyle w:val="878"/>
              <w:numPr>
                <w:ilvl w:val="0"/>
                <w:numId w:val="0"/>
              </w:numPr>
              <w:contextualSpacing/>
              <w:spacing w:line="240" w:lineRule="auto"/>
              <w:widowControl w:val="off"/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none"/>
              </w:rPr>
              <w:t xml:space="preserve">Обеспечение заявок на участие в закупке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</w:tcBorders>
            <w:tcW w:w="6097" w:type="dxa"/>
            <w:textDirection w:val="lrTb"/>
            <w:noWrap w:val="false"/>
          </w:tcPr>
          <w:p>
            <w:pPr>
              <w:contextualSpacing/>
              <w:keepLines/>
              <w:spacing w:after="120" w:line="240" w:lineRule="auto"/>
              <w:widowControl w:val="off"/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беспечение заявок на участие в закупке предусмотрено в размере 2% от начальной (максимальной) цены договора с НДС.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keepLines/>
              <w:spacing w:after="120" w:line="240" w:lineRule="auto"/>
              <w:widowControl w:val="off"/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Срок предоставления обеспечения заявки на участие в закупке: не позднее даты и времени окончания срока подачи заявок на участие в закупке, установленные в п. 8 части II «ИНФОРМАЦИОННАЯ КАРТА ЗАКУПКИ».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keepLines/>
              <w:spacing w:after="120" w:line="240" w:lineRule="auto"/>
              <w:widowControl w:val="off"/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П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обедителю закупки независимую гарантию возвращают по письменному запросу после предоставления финансового обеспечения на исполнение обязательств по договору и подписания договора. Остальным Участникам закупки независимая гарантия возвращается после размеще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ния Итогового протокола в ЕИС по их письменным запросам в 3-х дневный срок.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keepLines/>
              <w:spacing w:after="120" w:line="240" w:lineRule="auto"/>
              <w:widowControl w:val="off"/>
              <w:rPr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Обеспечительный платеж возвращается Оператором ЭП в порядке, установленном регламентом работы ЭП для корпоративных закупок.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keepLines/>
              <w:spacing w:after="12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 xml:space="preserve">Порядок внесения денежных средств и условия независимой гарантии, а также срок и случаи возврата обеспечения заявок установлены в разделе 3 части I «ОБЩИЕ УСЛОВИЯ ПРОВЕДЕНИЯ ЗАКУПКИ».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1266"/>
        </w:trPr>
        <w:tc>
          <w:tcPr>
            <w:shd w:val="clear" w:color="ffffff" w:fill="ffffff"/>
            <w:tcBorders>
              <w:top w:val="single" w:color="000000" w:sz="4" w:space="0"/>
            </w:tcBorders>
            <w:tcW w:w="3401" w:type="dxa"/>
            <w:textDirection w:val="lrTb"/>
            <w:noWrap w:val="false"/>
          </w:tcPr>
          <w:p>
            <w:pPr>
              <w:pStyle w:val="877"/>
              <w:contextualSpacing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none"/>
              </w:rPr>
              <w:t xml:space="preserve">Требования о запрете, ограничении закупок товаров, происходящи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none"/>
              </w:rPr>
              <w:t xml:space="preserve">х из иностранных государств, работ, услуг и преимущество в отношении товаров российского происхождения в соответствии с Постановлением Правительства РФ от 23.12.2024 № 1875 «О мерах по предоставлению национального режима при осуществлении закупок товаров, 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none"/>
              </w:rPr>
              <w:t xml:space="preserve">работ, услуг для обеспечения государственных и муниципальных нужд, закупок товаров, работ, услуг отдельными видами юридических лиц»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</w:tcBorders>
            <w:tcW w:w="6097" w:type="dxa"/>
            <w:textDirection w:val="lrTb"/>
            <w:noWrap w:val="false"/>
          </w:tcPr>
          <w:p>
            <w:pPr>
              <w:pStyle w:val="877"/>
              <w:contextualSpacing/>
              <w:jc w:val="both"/>
              <w:spacing w:after="120"/>
              <w:widowControl w:val="off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eastAsia="ru-RU"/>
              </w:rPr>
              <w:t xml:space="preserve">Не установлено</w:t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r>
          </w:p>
          <w:p>
            <w:pPr>
              <w:pStyle w:val="877"/>
              <w:contextualSpacing/>
              <w:jc w:val="both"/>
              <w:spacing w:after="12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77"/>
              <w:contextualSpacing/>
              <w:jc w:val="both"/>
              <w:spacing w:after="12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77"/>
              <w:contextualSpacing/>
              <w:jc w:val="both"/>
              <w:spacing w:after="12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77"/>
              <w:contextualSpacing/>
              <w:jc w:val="both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131"/>
        </w:trPr>
        <w:tc>
          <w:tcPr>
            <w:shd w:val="clear" w:color="ffffff" w:fill="ffffff"/>
            <w:tcW w:w="3401" w:type="dxa"/>
            <w:textDirection w:val="lrTb"/>
            <w:noWrap w:val="false"/>
          </w:tcPr>
          <w:p>
            <w:pPr>
              <w:pStyle w:val="877"/>
              <w:contextualSpacing/>
              <w:jc w:val="both"/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highlight w:val="none"/>
              </w:rPr>
              <w:t xml:space="preserve">Иные сведения, определенные Положением о закупке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highlight w:val="none"/>
              </w:rPr>
            </w:r>
          </w:p>
        </w:tc>
        <w:tc>
          <w:tcPr>
            <w:tcW w:w="6097" w:type="dxa"/>
            <w:textDirection w:val="lrTb"/>
            <w:noWrap w:val="false"/>
          </w:tcPr>
          <w:p>
            <w:pPr>
              <w:pStyle w:val="877"/>
              <w:contextualSpacing/>
              <w:jc w:val="both"/>
              <w:spacing w:line="240" w:lineRule="auto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Остальные и более подробные условия проведения закупки содержатся в документации о закупке.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</w:tbl>
    <w:p>
      <w:pPr>
        <w:ind w:left="5103"/>
        <w:spacing w:after="0" w:line="240" w:lineRule="auto"/>
        <w:tabs>
          <w:tab w:val="left" w:pos="3255" w:leader="none"/>
        </w:tabs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yellow"/>
        </w:rPr>
      </w:r>
      <w:r>
        <w:rPr>
          <w:rFonts w:ascii="Times New Roman" w:hAnsi="Times New Roman" w:cs="Times New Roman"/>
          <w:sz w:val="22"/>
          <w:szCs w:val="22"/>
          <w:highlight w:val="yellow"/>
        </w:rPr>
      </w:r>
      <w:r>
        <w:rPr>
          <w:rFonts w:ascii="Times New Roman" w:hAnsi="Times New Roman" w:cs="Times New Roman"/>
          <w:sz w:val="22"/>
          <w:szCs w:val="22"/>
          <w:highlight w:val="yellow"/>
        </w:rPr>
      </w:r>
    </w:p>
    <w:p>
      <w:pPr>
        <w:spacing w:after="200" w:line="276" w:lineRule="auto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yellow"/>
        </w:rPr>
      </w:r>
      <w:r>
        <w:rPr>
          <w:rFonts w:ascii="Times New Roman" w:hAnsi="Times New Roman" w:cs="Times New Roman"/>
          <w:sz w:val="22"/>
          <w:szCs w:val="22"/>
          <w:highlight w:val="yellow"/>
        </w:rPr>
      </w:r>
      <w:r>
        <w:rPr>
          <w:rFonts w:ascii="Times New Roman" w:hAnsi="Times New Roman" w:cs="Times New Roman"/>
          <w:sz w:val="22"/>
          <w:szCs w:val="22"/>
          <w:highlight w:val="yellow"/>
        </w:rPr>
      </w:r>
    </w:p>
    <w:p>
      <w:pPr>
        <w:spacing w:after="200" w:line="276" w:lineRule="auto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yellow"/>
        </w:rPr>
      </w:r>
      <w:r>
        <w:rPr>
          <w:rFonts w:ascii="Times New Roman" w:hAnsi="Times New Roman" w:cs="Times New Roman"/>
          <w:sz w:val="22"/>
          <w:szCs w:val="22"/>
          <w:highlight w:val="yellow"/>
        </w:rPr>
      </w:r>
      <w:r>
        <w:rPr>
          <w:rFonts w:ascii="Times New Roman" w:hAnsi="Times New Roman" w:cs="Times New Roman"/>
          <w:sz w:val="22"/>
          <w:szCs w:val="22"/>
          <w:highlight w:val="yellow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(WT)">
    <w:panose1 w:val="020B0604020202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PF Din Text Cond Pro Light">
    <w:panose1 w:val="02000000000000000000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720" w:hanging="360"/>
      </w:pPr>
      <w:rPr>
        <w:rFonts w:hint="default" w:ascii="Arial (WT)" w:hAnsi="Arial (WT)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4">
    <w:name w:val="Heading 1 Char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675">
    <w:name w:val="Heading 2 Char"/>
    <w:basedOn w:val="701"/>
    <w:link w:val="693"/>
    <w:uiPriority w:val="9"/>
    <w:rPr>
      <w:rFonts w:ascii="Arial" w:hAnsi="Arial" w:eastAsia="Arial" w:cs="Arial"/>
      <w:sz w:val="34"/>
    </w:rPr>
  </w:style>
  <w:style w:type="character" w:styleId="676">
    <w:name w:val="Heading 3 Char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677">
    <w:name w:val="Heading 4 Char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678">
    <w:name w:val="Heading 5 Char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679">
    <w:name w:val="Heading 6 Char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680">
    <w:name w:val="Heading 7 Char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8 Char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682">
    <w:name w:val="Heading 9 Char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character" w:styleId="683">
    <w:name w:val="Title Char"/>
    <w:basedOn w:val="701"/>
    <w:link w:val="714"/>
    <w:uiPriority w:val="10"/>
    <w:rPr>
      <w:sz w:val="48"/>
      <w:szCs w:val="48"/>
    </w:rPr>
  </w:style>
  <w:style w:type="character" w:styleId="684">
    <w:name w:val="Subtitle Char"/>
    <w:basedOn w:val="701"/>
    <w:link w:val="716"/>
    <w:uiPriority w:val="11"/>
    <w:rPr>
      <w:sz w:val="24"/>
      <w:szCs w:val="24"/>
    </w:rPr>
  </w:style>
  <w:style w:type="character" w:styleId="685">
    <w:name w:val="Quote Char"/>
    <w:link w:val="718"/>
    <w:uiPriority w:val="29"/>
    <w:rPr>
      <w:i/>
    </w:rPr>
  </w:style>
  <w:style w:type="character" w:styleId="686">
    <w:name w:val="Intense Quote Char"/>
    <w:link w:val="720"/>
    <w:uiPriority w:val="30"/>
    <w:rPr>
      <w:i/>
    </w:rPr>
  </w:style>
  <w:style w:type="character" w:styleId="687">
    <w:name w:val="Footer Char"/>
    <w:basedOn w:val="701"/>
    <w:link w:val="723"/>
    <w:uiPriority w:val="99"/>
  </w:style>
  <w:style w:type="character" w:styleId="688">
    <w:name w:val="Caption Char"/>
    <w:basedOn w:val="701"/>
    <w:link w:val="725"/>
    <w:uiPriority w:val="35"/>
    <w:rPr>
      <w:b/>
      <w:bCs/>
      <w:color w:val="4f81bd" w:themeColor="accent1"/>
      <w:sz w:val="18"/>
      <w:szCs w:val="18"/>
    </w:rPr>
  </w:style>
  <w:style w:type="character" w:styleId="689">
    <w:name w:val="Footnote Text Char"/>
    <w:link w:val="854"/>
    <w:uiPriority w:val="99"/>
    <w:rPr>
      <w:sz w:val="18"/>
    </w:rPr>
  </w:style>
  <w:style w:type="character" w:styleId="690">
    <w:name w:val="Endnote Text Char"/>
    <w:link w:val="857"/>
    <w:uiPriority w:val="99"/>
    <w:rPr>
      <w:sz w:val="20"/>
    </w:rPr>
  </w:style>
  <w:style w:type="paragraph" w:styleId="691" w:default="1">
    <w:name w:val="Normal"/>
    <w:qFormat/>
    <w:pPr>
      <w:spacing w:after="160" w:line="259" w:lineRule="auto"/>
    </w:pPr>
    <w:rPr>
      <w:rFonts w:ascii="Calibri" w:hAnsi="Calibri" w:eastAsia="Calibri" w:cs="Times New Roman"/>
    </w:rPr>
  </w:style>
  <w:style w:type="paragraph" w:styleId="692">
    <w:name w:val="Heading 1"/>
    <w:basedOn w:val="691"/>
    <w:next w:val="691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3">
    <w:name w:val="Heading 2"/>
    <w:basedOn w:val="691"/>
    <w:next w:val="691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4">
    <w:name w:val="Heading 3"/>
    <w:basedOn w:val="691"/>
    <w:next w:val="691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5">
    <w:name w:val="Heading 4"/>
    <w:basedOn w:val="691"/>
    <w:next w:val="691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691"/>
    <w:next w:val="691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691"/>
    <w:next w:val="691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8">
    <w:name w:val="Heading 7"/>
    <w:basedOn w:val="691"/>
    <w:next w:val="691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9">
    <w:name w:val="Heading 8"/>
    <w:basedOn w:val="691"/>
    <w:next w:val="69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00">
    <w:name w:val="Heading 9"/>
    <w:basedOn w:val="691"/>
    <w:next w:val="691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 w:default="1">
    <w:name w:val="Default Paragraph Font"/>
    <w:uiPriority w:val="1"/>
    <w:semiHidden/>
    <w:unhideWhenUsed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Заголовок 1 Знак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basedOn w:val="701"/>
    <w:link w:val="693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No Spacing"/>
    <w:uiPriority w:val="1"/>
    <w:qFormat/>
    <w:pPr>
      <w:spacing w:after="0" w:line="240" w:lineRule="auto"/>
    </w:pPr>
  </w:style>
  <w:style w:type="paragraph" w:styleId="714">
    <w:name w:val="Title"/>
    <w:basedOn w:val="691"/>
    <w:next w:val="691"/>
    <w:link w:val="71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5" w:customStyle="1">
    <w:name w:val="Заголовок Знак"/>
    <w:basedOn w:val="701"/>
    <w:link w:val="714"/>
    <w:uiPriority w:val="10"/>
    <w:rPr>
      <w:sz w:val="48"/>
      <w:szCs w:val="48"/>
    </w:rPr>
  </w:style>
  <w:style w:type="paragraph" w:styleId="716">
    <w:name w:val="Subtitle"/>
    <w:basedOn w:val="691"/>
    <w:next w:val="691"/>
    <w:link w:val="717"/>
    <w:uiPriority w:val="11"/>
    <w:qFormat/>
    <w:pPr>
      <w:spacing w:before="200" w:after="200"/>
    </w:pPr>
    <w:rPr>
      <w:sz w:val="24"/>
      <w:szCs w:val="24"/>
    </w:rPr>
  </w:style>
  <w:style w:type="character" w:styleId="717" w:customStyle="1">
    <w:name w:val="Подзаголовок Знак"/>
    <w:basedOn w:val="701"/>
    <w:link w:val="716"/>
    <w:uiPriority w:val="11"/>
    <w:rPr>
      <w:sz w:val="24"/>
      <w:szCs w:val="24"/>
    </w:rPr>
  </w:style>
  <w:style w:type="paragraph" w:styleId="718">
    <w:name w:val="Quote"/>
    <w:basedOn w:val="691"/>
    <w:next w:val="691"/>
    <w:link w:val="719"/>
    <w:uiPriority w:val="29"/>
    <w:qFormat/>
    <w:pPr>
      <w:ind w:left="720" w:right="720"/>
    </w:pPr>
    <w:rPr>
      <w:i/>
    </w:rPr>
  </w:style>
  <w:style w:type="character" w:styleId="719" w:customStyle="1">
    <w:name w:val="Цитата 2 Знак"/>
    <w:link w:val="718"/>
    <w:uiPriority w:val="29"/>
    <w:rPr>
      <w:i/>
    </w:rPr>
  </w:style>
  <w:style w:type="paragraph" w:styleId="720">
    <w:name w:val="Intense Quote"/>
    <w:basedOn w:val="691"/>
    <w:next w:val="691"/>
    <w:link w:val="7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 w:customStyle="1">
    <w:name w:val="Выделенная цитата Знак"/>
    <w:link w:val="720"/>
    <w:uiPriority w:val="30"/>
    <w:rPr>
      <w:i/>
    </w:rPr>
  </w:style>
  <w:style w:type="character" w:styleId="722" w:customStyle="1">
    <w:name w:val="Header Char"/>
    <w:basedOn w:val="701"/>
    <w:uiPriority w:val="99"/>
  </w:style>
  <w:style w:type="paragraph" w:styleId="723">
    <w:name w:val="Footer"/>
    <w:basedOn w:val="691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 w:customStyle="1">
    <w:name w:val="Нижний колонтитул Знак"/>
    <w:basedOn w:val="701"/>
    <w:link w:val="723"/>
    <w:uiPriority w:val="99"/>
  </w:style>
  <w:style w:type="paragraph" w:styleId="725">
    <w:name w:val="Caption"/>
    <w:basedOn w:val="691"/>
    <w:next w:val="691"/>
    <w:link w:val="7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 w:customStyle="1">
    <w:name w:val="Название объекта Знак"/>
    <w:basedOn w:val="701"/>
    <w:link w:val="725"/>
    <w:uiPriority w:val="35"/>
    <w:rPr>
      <w:b/>
      <w:bCs/>
      <w:color w:val="4f81bd" w:themeColor="accent1"/>
      <w:sz w:val="18"/>
      <w:szCs w:val="18"/>
    </w:rPr>
  </w:style>
  <w:style w:type="table" w:styleId="727">
    <w:name w:val="Table Grid"/>
    <w:basedOn w:val="70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8" w:customStyle="1">
    <w:name w:val="Table Grid Light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9">
    <w:name w:val="Plain Table 1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70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 w:customStyle="1">
    <w:name w:val="Grid Table 4 - Accent 1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7" w:customStyle="1">
    <w:name w:val="Grid Table 4 - Accent 2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8" w:customStyle="1">
    <w:name w:val="Grid Table 4 - Accent 3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9" w:customStyle="1">
    <w:name w:val="Grid Table 4 - Accent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0" w:customStyle="1">
    <w:name w:val="Grid Table 4 - Accent 5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1" w:customStyle="1">
    <w:name w:val="Grid Table 4 - Accent 6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2">
    <w:name w:val="Grid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9">
    <w:name w:val="Grid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0" w:customStyle="1">
    <w:name w:val="Grid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1" w:customStyle="1">
    <w:name w:val="Grid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2" w:customStyle="1">
    <w:name w:val="Grid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3" w:customStyle="1">
    <w:name w:val="Grid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4" w:customStyle="1">
    <w:name w:val="Grid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5" w:customStyle="1">
    <w:name w:val="Grid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6">
    <w:name w:val="Grid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1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2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6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>
    <w:name w:val="List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9" w:customStyle="1">
    <w:name w:val="List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0" w:customStyle="1">
    <w:name w:val="List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1" w:customStyle="1">
    <w:name w:val="List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2" w:customStyle="1">
    <w:name w:val="List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3" w:customStyle="1">
    <w:name w:val="List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4" w:customStyle="1">
    <w:name w:val="List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5">
    <w:name w:val="List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3" w:customStyle="1">
    <w:name w:val="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4" w:customStyle="1">
    <w:name w:val="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5" w:customStyle="1">
    <w:name w:val="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6" w:customStyle="1">
    <w:name w:val="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7" w:customStyle="1">
    <w:name w:val="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8" w:customStyle="1">
    <w:name w:val="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9" w:customStyle="1">
    <w:name w:val="Bordered &amp; 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0" w:customStyle="1">
    <w:name w:val="Bordered &amp; 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1" w:customStyle="1">
    <w:name w:val="Bordered &amp; 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2" w:customStyle="1">
    <w:name w:val="Bordered &amp; 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3" w:customStyle="1">
    <w:name w:val="Bordered &amp; 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4" w:customStyle="1">
    <w:name w:val="Bordered &amp; 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5" w:customStyle="1">
    <w:name w:val="Bordered &amp; 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6" w:customStyle="1">
    <w:name w:val="Bordered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7" w:customStyle="1">
    <w:name w:val="Bordered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8" w:customStyle="1">
    <w:name w:val="Bordered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9" w:customStyle="1">
    <w:name w:val="Bordered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0" w:customStyle="1">
    <w:name w:val="Bordered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1" w:customStyle="1">
    <w:name w:val="Bordered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2" w:customStyle="1">
    <w:name w:val="Bordered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000ff" w:themeColor="hyperlink"/>
      <w:u w:val="single"/>
    </w:rPr>
  </w:style>
  <w:style w:type="paragraph" w:styleId="854">
    <w:name w:val="footnote text"/>
    <w:basedOn w:val="69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 w:customStyle="1">
    <w:name w:val="Текст сноски Знак"/>
    <w:link w:val="854"/>
    <w:uiPriority w:val="99"/>
    <w:rPr>
      <w:sz w:val="18"/>
    </w:rPr>
  </w:style>
  <w:style w:type="character" w:styleId="856">
    <w:name w:val="footnote reference"/>
    <w:basedOn w:val="701"/>
    <w:uiPriority w:val="99"/>
    <w:unhideWhenUsed/>
    <w:rPr>
      <w:vertAlign w:val="superscript"/>
    </w:rPr>
  </w:style>
  <w:style w:type="paragraph" w:styleId="857">
    <w:name w:val="endnote text"/>
    <w:basedOn w:val="69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 w:customStyle="1">
    <w:name w:val="Текст концевой сноски Знак"/>
    <w:link w:val="857"/>
    <w:uiPriority w:val="99"/>
    <w:rPr>
      <w:sz w:val="20"/>
    </w:rPr>
  </w:style>
  <w:style w:type="character" w:styleId="859">
    <w:name w:val="endnote reference"/>
    <w:basedOn w:val="701"/>
    <w:uiPriority w:val="99"/>
    <w:semiHidden/>
    <w:unhideWhenUsed/>
    <w:rPr>
      <w:vertAlign w:val="superscript"/>
    </w:rPr>
  </w:style>
  <w:style w:type="paragraph" w:styleId="860">
    <w:name w:val="toc 1"/>
    <w:basedOn w:val="691"/>
    <w:next w:val="691"/>
    <w:uiPriority w:val="39"/>
    <w:unhideWhenUsed/>
    <w:pPr>
      <w:spacing w:after="57"/>
    </w:pPr>
  </w:style>
  <w:style w:type="paragraph" w:styleId="861">
    <w:name w:val="toc 2"/>
    <w:basedOn w:val="691"/>
    <w:next w:val="691"/>
    <w:uiPriority w:val="39"/>
    <w:unhideWhenUsed/>
    <w:pPr>
      <w:ind w:left="283"/>
      <w:spacing w:after="57"/>
    </w:pPr>
  </w:style>
  <w:style w:type="paragraph" w:styleId="862">
    <w:name w:val="toc 3"/>
    <w:basedOn w:val="691"/>
    <w:next w:val="691"/>
    <w:uiPriority w:val="39"/>
    <w:unhideWhenUsed/>
    <w:pPr>
      <w:ind w:left="567"/>
      <w:spacing w:after="57"/>
    </w:pPr>
  </w:style>
  <w:style w:type="paragraph" w:styleId="863">
    <w:name w:val="toc 4"/>
    <w:basedOn w:val="691"/>
    <w:next w:val="691"/>
    <w:uiPriority w:val="39"/>
    <w:unhideWhenUsed/>
    <w:pPr>
      <w:ind w:left="850"/>
      <w:spacing w:after="57"/>
    </w:pPr>
  </w:style>
  <w:style w:type="paragraph" w:styleId="864">
    <w:name w:val="toc 5"/>
    <w:basedOn w:val="691"/>
    <w:next w:val="691"/>
    <w:uiPriority w:val="39"/>
    <w:unhideWhenUsed/>
    <w:pPr>
      <w:ind w:left="1134"/>
      <w:spacing w:after="57"/>
    </w:pPr>
  </w:style>
  <w:style w:type="paragraph" w:styleId="865">
    <w:name w:val="toc 6"/>
    <w:basedOn w:val="691"/>
    <w:next w:val="691"/>
    <w:uiPriority w:val="39"/>
    <w:unhideWhenUsed/>
    <w:pPr>
      <w:ind w:left="1417"/>
      <w:spacing w:after="57"/>
    </w:pPr>
  </w:style>
  <w:style w:type="paragraph" w:styleId="866">
    <w:name w:val="toc 7"/>
    <w:basedOn w:val="691"/>
    <w:next w:val="691"/>
    <w:uiPriority w:val="39"/>
    <w:unhideWhenUsed/>
    <w:pPr>
      <w:ind w:left="1701"/>
      <w:spacing w:after="57"/>
    </w:pPr>
  </w:style>
  <w:style w:type="paragraph" w:styleId="867">
    <w:name w:val="toc 8"/>
    <w:basedOn w:val="691"/>
    <w:next w:val="691"/>
    <w:uiPriority w:val="39"/>
    <w:unhideWhenUsed/>
    <w:pPr>
      <w:ind w:left="1984"/>
      <w:spacing w:after="57"/>
    </w:pPr>
  </w:style>
  <w:style w:type="paragraph" w:styleId="868">
    <w:name w:val="toc 9"/>
    <w:basedOn w:val="691"/>
    <w:next w:val="691"/>
    <w:uiPriority w:val="39"/>
    <w:unhideWhenUsed/>
    <w:pPr>
      <w:ind w:left="2268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691"/>
    <w:next w:val="691"/>
    <w:uiPriority w:val="99"/>
    <w:unhideWhenUsed/>
    <w:pPr>
      <w:spacing w:after="0"/>
    </w:pPr>
  </w:style>
  <w:style w:type="paragraph" w:styleId="871">
    <w:name w:val="Header"/>
    <w:basedOn w:val="691"/>
    <w:link w:val="87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2" w:customStyle="1">
    <w:name w:val="Верхний колонтитул Знак"/>
    <w:basedOn w:val="701"/>
    <w:link w:val="871"/>
    <w:uiPriority w:val="99"/>
    <w:rPr>
      <w:rFonts w:ascii="Calibri" w:hAnsi="Calibri" w:eastAsia="Calibri" w:cs="Times New Roman"/>
    </w:rPr>
  </w:style>
  <w:style w:type="paragraph" w:styleId="873">
    <w:name w:val="Balloon Text"/>
    <w:basedOn w:val="691"/>
    <w:link w:val="87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4" w:customStyle="1">
    <w:name w:val="Текст выноски Знак"/>
    <w:basedOn w:val="701"/>
    <w:link w:val="873"/>
    <w:uiPriority w:val="99"/>
    <w:semiHidden/>
    <w:rPr>
      <w:rFonts w:ascii="Tahoma" w:hAnsi="Tahoma" w:eastAsia="Calibri" w:cs="Tahoma"/>
      <w:sz w:val="16"/>
      <w:szCs w:val="16"/>
    </w:rPr>
  </w:style>
  <w:style w:type="paragraph" w:styleId="875">
    <w:name w:val="List Paragraph"/>
    <w:basedOn w:val="691"/>
    <w:uiPriority w:val="34"/>
    <w:qFormat/>
    <w:pPr>
      <w:contextualSpacing/>
      <w:ind w:left="720"/>
    </w:pPr>
  </w:style>
  <w:style w:type="paragraph" w:styleId="876">
    <w:name w:val="Revision"/>
    <w:hidden/>
    <w:uiPriority w:val="99"/>
    <w:semiHidden/>
    <w:pPr>
      <w:spacing w:after="0" w:line="240" w:lineRule="auto"/>
    </w:pPr>
    <w:rPr>
      <w:rFonts w:ascii="Calibri" w:hAnsi="Calibri" w:eastAsia="Calibri" w:cs="Times New Roman"/>
    </w:rPr>
  </w:style>
  <w:style w:type="paragraph" w:styleId="877" w:customStyle="1">
    <w:name w:val="Defaul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878" w:customStyle="1">
    <w:name w:val="Пункт_5"/>
    <w:uiPriority w:val="99"/>
    <w:pPr>
      <w:numPr>
        <w:ilvl w:val="4"/>
        <w:numId w:val="0"/>
      </w:numPr>
      <w:contextualSpacing w:val="0"/>
      <w:ind w:left="0" w:right="0" w:firstLine="567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num" w:pos="1703" w:leader="none"/>
        <w:tab w:val="num" w:pos="4399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hyperlink" Target="http://rts-tender.ru/" TargetMode="External"/><Relationship Id="rId12" Type="http://schemas.openxmlformats.org/officeDocument/2006/relationships/hyperlink" Target="http://rts-tender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Демина Елена Валерьевна</dc:creator>
  <cp:lastModifiedBy>Kirillova</cp:lastModifiedBy>
  <cp:revision>21</cp:revision>
  <dcterms:created xsi:type="dcterms:W3CDTF">2026-03-05T08:07:00Z</dcterms:created>
  <dcterms:modified xsi:type="dcterms:W3CDTF">2026-10-16T13:28:41Z</dcterms:modified>
</cp:coreProperties>
</file>