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6237"/>
        <w:jc w:val="left"/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ind w:left="6237"/>
        <w:jc w:val="left"/>
        <w:spacing w:line="264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left="3424" w:hanging="11"/>
        <w:jc w:val="center"/>
      </w:pPr>
      <w:r/>
      <w:r/>
    </w:p>
    <w:p>
      <w:pPr>
        <w:ind w:left="3424" w:hanging="11"/>
        <w:jc w:val="center"/>
      </w:pPr>
      <w:r/>
      <w:r/>
    </w:p>
    <w:p>
      <w:pPr>
        <w:ind w:left="3424" w:hanging="11"/>
        <w:jc w:val="center"/>
      </w:pPr>
      <w:r/>
      <w:r/>
    </w:p>
    <w:p>
      <w:pPr>
        <w:ind w:left="3424" w:hanging="11"/>
        <w:jc w:val="center"/>
      </w:pPr>
      <w:r/>
      <w:r/>
    </w:p>
    <w:p>
      <w:pPr>
        <w:pStyle w:val="1518"/>
        <w:ind w:left="6237" w:right="0" w:firstLine="0"/>
        <w:jc w:val="left"/>
        <w:spacing w:line="264" w:lineRule="auto"/>
        <w:shd w:val="clear" w:color="auto" w:fill="auto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Утверждена на заседании </w:t>
      </w: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r>
    </w:p>
    <w:p>
      <w:pPr>
        <w:pStyle w:val="1518"/>
        <w:ind w:left="6237" w:right="0" w:firstLine="0"/>
        <w:jc w:val="left"/>
        <w:spacing w:line="264" w:lineRule="auto"/>
        <w:shd w:val="clear" w:color="auto" w:fill="auto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Закупочной комиссии </w:t>
      </w: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r>
    </w:p>
    <w:p>
      <w:pPr>
        <w:ind w:left="6237"/>
        <w:jc w:val="left"/>
        <w:spacing w:line="264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pStyle w:val="1516"/>
        <w:ind w:firstLine="0"/>
        <w:jc w:val="center"/>
        <w:spacing w:line="264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</w:r>
      <w:r>
        <w:rPr>
          <w:rFonts w:ascii="Times New Roman" w:hAnsi="Times New Roman"/>
          <w:b/>
          <w:szCs w:val="24"/>
        </w:rPr>
      </w:r>
    </w:p>
    <w:p>
      <w:pPr>
        <w:jc w:val="center"/>
        <w:spacing w:line="264" w:lineRule="auto"/>
        <w:rPr>
          <w:b/>
        </w:rPr>
      </w:pPr>
      <w:r>
        <w:rPr>
          <w:b/>
        </w:rPr>
      </w:r>
      <w:r>
        <w:rPr>
          <w:b/>
        </w:rPr>
      </w:r>
    </w:p>
    <w:p>
      <w:pPr>
        <w:pStyle w:val="1518"/>
        <w:ind w:left="0" w:right="0" w:firstLine="0"/>
        <w:jc w:val="center"/>
        <w:spacing w:line="264" w:lineRule="auto"/>
        <w:shd w:val="clear" w:color="auto" w:fill="auto"/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  <w:t xml:space="preserve">ДОКУМЕНТАЦИЯ О ЗАКУПКЕ</w:t>
      </w:r>
      <w:r>
        <w:rPr>
          <w:rFonts w:ascii="Times New Roman" w:hAnsi="Times New Roman"/>
          <w:b/>
          <w:bCs/>
          <w:iCs/>
          <w:color w:val="auto"/>
          <w:sz w:val="24"/>
          <w:szCs w:val="24"/>
          <w:lang w:eastAsia="ar-SA"/>
        </w:rPr>
      </w:r>
    </w:p>
    <w:p>
      <w:pPr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spacing w:after="0"/>
        <w:widowControl w:val="off"/>
        <w:rPr>
          <w:b/>
          <w:bCs/>
        </w:rPr>
      </w:pPr>
      <w:r>
        <w:rPr>
          <w:b/>
          <w:bCs/>
        </w:rPr>
        <w:t xml:space="preserve">Конкурс в электронной форме на право заключения договора на выполнение работ развитию автоматизированной системы управления персоналом (АСУП) в Публичном акционерном обществе «Федеральная сетевая компания - Россети»</w:t>
      </w:r>
      <w:r>
        <w:rPr>
          <w:b/>
          <w:bCs/>
        </w:rPr>
        <w:br/>
      </w:r>
      <w:r>
        <w:rPr>
          <w:b/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spacing w:line="264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jc w:val="center"/>
        <w:spacing w:line="264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64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64" w:lineRule="auto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jc w:val="center"/>
        <w:spacing w:line="264" w:lineRule="auto"/>
        <w:rPr>
          <w:b/>
          <w:bCs/>
        </w:rPr>
      </w:pPr>
      <w:r>
        <w:rPr>
          <w:b/>
          <w:bCs/>
        </w:rPr>
        <w:t xml:space="preserve">г. </w:t>
      </w:r>
      <w:r>
        <w:rPr>
          <w:b/>
        </w:rPr>
        <w:t xml:space="preserve">Москва, </w:t>
      </w:r>
      <w:r>
        <w:rPr>
          <w:b/>
          <w:bCs/>
        </w:rPr>
        <w:t xml:space="preserve">2026 год</w:t>
      </w:r>
      <w:r>
        <w:rPr>
          <w:sz w:val="22"/>
          <w:szCs w:val="22"/>
        </w:rPr>
        <w:br w:type="page" w:clear="all"/>
      </w:r>
      <w:r>
        <w:rPr>
          <w:b/>
          <w:bCs/>
        </w:rPr>
      </w:r>
    </w:p>
    <w:p>
      <w:pPr>
        <w:jc w:val="center"/>
        <w:spacing w:line="264" w:lineRule="auto"/>
        <w:rPr>
          <w:sz w:val="22"/>
          <w:szCs w:val="22"/>
        </w:rPr>
        <w:sectPr>
          <w:footerReference w:type="default" r:id="rId14"/>
          <w:footnotePr/>
          <w:endnotePr/>
          <w:type w:val="continuous"/>
          <w:pgSz w:w="11909" w:h="16834" w:orient="portrait"/>
          <w:pgMar w:top="1134" w:right="850" w:bottom="1134" w:left="1701" w:header="720" w:footer="283" w:gutter="0"/>
          <w:cols w:num="1" w:sep="0" w:space="60" w:equalWidth="1"/>
          <w:docGrid w:linePitch="360"/>
          <w:titlePg/>
        </w:sect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114"/>
        <w:ind w:left="567" w:firstLine="0"/>
        <w:keepNext w:val="0"/>
        <w:spacing w:before="0" w:after="0"/>
        <w:tabs>
          <w:tab w:val="clear" w:pos="432" w:leader="none"/>
        </w:tabs>
        <w:rPr>
          <w:rStyle w:val="1477"/>
          <w:caps/>
          <w:sz w:val="22"/>
          <w:szCs w:val="22"/>
        </w:rPr>
      </w:pPr>
      <w:r/>
      <w:bookmarkStart w:id="0" w:name="_Toc243045032"/>
      <w:r>
        <w:rPr>
          <w:rStyle w:val="1477"/>
          <w:caps/>
          <w:sz w:val="22"/>
          <w:szCs w:val="22"/>
        </w:rPr>
        <w:t xml:space="preserve">СОДЕРЖАНИЕ</w:t>
      </w:r>
      <w:bookmarkEnd w:id="0"/>
      <w:r/>
      <w:r>
        <w:rPr>
          <w:rStyle w:val="1477"/>
          <w:caps/>
          <w:sz w:val="22"/>
          <w:szCs w:val="22"/>
        </w:rPr>
      </w:r>
    </w:p>
    <w:p>
      <w:pPr>
        <w:ind w:firstLine="567"/>
        <w:jc w:val="left"/>
        <w:keepLines/>
        <w:keepNext/>
        <w:spacing w:after="0"/>
        <w:widowControl w:val="off"/>
        <w:rPr>
          <w:sz w:val="22"/>
          <w:szCs w:val="22"/>
        </w:rPr>
        <w:suppressLineNumbers/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366"/>
        <w:tabs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>
        <w:rPr>
          <w:b w:val="0"/>
          <w:bCs w:val="0"/>
          <w:i/>
          <w:iCs/>
          <w:caps w:val="0"/>
          <w:smallCaps/>
          <w:sz w:val="22"/>
          <w:szCs w:val="22"/>
        </w:rPr>
        <w:fldChar w:fldCharType="begin"/>
      </w:r>
      <w:r>
        <w:rPr>
          <w:b w:val="0"/>
          <w:bCs w:val="0"/>
          <w:i/>
          <w:iCs/>
          <w:caps w:val="0"/>
          <w:smallCaps/>
          <w:sz w:val="22"/>
          <w:szCs w:val="22"/>
        </w:rPr>
        <w:instrText xml:space="preserve"> TOC \o "1-2" \h \z \u </w:instrText>
      </w:r>
      <w:r>
        <w:rPr>
          <w:b w:val="0"/>
          <w:bCs w:val="0"/>
          <w:i/>
          <w:iCs/>
          <w:caps w:val="0"/>
          <w:smallCaps/>
          <w:sz w:val="22"/>
          <w:szCs w:val="22"/>
        </w:rPr>
        <w:fldChar w:fldCharType="separate"/>
      </w:r>
      <w:hyperlink w:tooltip="#_Toc243045032" w:anchor="_Toc243045032" w:history="1">
        <w:r>
          <w:rPr>
            <w:rStyle w:val="1402"/>
          </w:rPr>
          <w:t xml:space="preserve">СОДЕРЖАНИЕ</w:t>
        </w:r>
        <w:r>
          <w:tab/>
        </w:r>
        <w:r>
          <w:fldChar w:fldCharType="begin"/>
        </w:r>
        <w:r>
          <w:instrText xml:space="preserve"> PAGEREF _Toc243045032 \h </w:instrText>
        </w:r>
        <w:r/>
        <w:r>
          <w:fldChar w:fldCharType="separate"/>
        </w:r>
        <w:r>
          <w:t xml:space="preserve">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33" w:anchor="_Toc243045033" w:history="1">
        <w:r>
          <w:rPr>
            <w:rStyle w:val="1402"/>
          </w:rPr>
          <w:t xml:space="preserve">I.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ОБЩИЕ УСЛОВИЯ ПРОВЕДЕНИЯ закупки</w:t>
        </w:r>
        <w:r>
          <w:tab/>
        </w:r>
        <w:r>
          <w:fldChar w:fldCharType="begin"/>
        </w:r>
        <w:r>
          <w:instrText xml:space="preserve"> PAGEREF _Toc243045033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34" w:anchor="_Toc243045034" w:history="1">
        <w:r>
          <w:rPr>
            <w:rStyle w:val="1402"/>
          </w:rPr>
          <w:t xml:space="preserve">1.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ОБЩИЕ ПОЛОЖЕНИЯ</w:t>
        </w:r>
        <w:r>
          <w:tab/>
        </w:r>
        <w:r>
          <w:fldChar w:fldCharType="begin"/>
        </w:r>
        <w:r>
          <w:instrText xml:space="preserve"> PAGEREF _Toc243045034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35" w:anchor="_Toc243045035" w:history="1">
        <w:r>
          <w:rPr>
            <w:rStyle w:val="1402"/>
          </w:rPr>
          <w:t xml:space="preserve">1.1.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Правовой статус документов</w:t>
        </w:r>
        <w:r>
          <w:tab/>
        </w:r>
        <w:r>
          <w:fldChar w:fldCharType="begin"/>
        </w:r>
        <w:r>
          <w:instrText xml:space="preserve"> PAGEREF _Toc243045035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36" w:anchor="_Toc243045036" w:history="1">
        <w:r>
          <w:rPr>
            <w:rStyle w:val="1402"/>
          </w:rPr>
          <w:t xml:space="preserve">1.2.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Заказчик, предмет и условия проведения закупки.</w:t>
        </w:r>
        <w:r>
          <w:tab/>
        </w:r>
        <w:r>
          <w:fldChar w:fldCharType="begin"/>
        </w:r>
        <w:r>
          <w:instrText xml:space="preserve"> PAGEREF _Toc243045036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37" w:anchor="_Toc243045037" w:history="1">
        <w:r>
          <w:rPr>
            <w:rStyle w:val="1402"/>
          </w:rPr>
          <w:t xml:space="preserve">1.3.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Начальная (максимальная) цена договора</w:t>
        </w:r>
        <w:r>
          <w:tab/>
        </w:r>
        <w:r>
          <w:fldChar w:fldCharType="begin"/>
        </w:r>
        <w:r>
          <w:instrText xml:space="preserve"> PAGEREF _Toc243045037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38" w:anchor="_Toc243045038" w:history="1">
        <w:r>
          <w:rPr>
            <w:rStyle w:val="1402"/>
          </w:rPr>
          <w:t xml:space="preserve">1.4.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участникам закупки</w:t>
        </w:r>
        <w:r>
          <w:tab/>
        </w:r>
        <w:r>
          <w:fldChar w:fldCharType="begin"/>
        </w:r>
        <w:r>
          <w:instrText xml:space="preserve"> PAGEREF _Toc243045038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39" w:anchor="_Toc243045039" w:history="1">
        <w:r>
          <w:rPr>
            <w:rStyle w:val="1402"/>
          </w:rPr>
          <w:t xml:space="preserve">1.5.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Привлечение соисполнителей (субподрядчиков) к исполнению договора</w:t>
        </w:r>
        <w:r>
          <w:tab/>
        </w:r>
        <w:r>
          <w:fldChar w:fldCharType="begin"/>
        </w:r>
        <w:r>
          <w:instrText xml:space="preserve"> PAGEREF _Toc243045039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0" w:anchor="_Toc243045040" w:history="1">
        <w:r>
          <w:rPr>
            <w:rStyle w:val="1402"/>
          </w:rPr>
          <w:t xml:space="preserve">1.6.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Расходы на участие в закупке и при заключении договора</w:t>
        </w:r>
        <w:r>
          <w:tab/>
        </w:r>
        <w:r>
          <w:fldChar w:fldCharType="begin"/>
        </w:r>
        <w:r>
          <w:instrText xml:space="preserve"> PAGEREF _Toc243045040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1" w:anchor="_Toc243045041" w:history="1">
        <w:r>
          <w:rPr>
            <w:rStyle w:val="1402"/>
          </w:rPr>
          <w:t xml:space="preserve">1.7.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Условия предоставления национального режим</w:t>
        </w:r>
        <w:r>
          <w:rPr>
            <w:rStyle w:val="1402"/>
          </w:rPr>
          <w:t xml:space="preserve">а закупок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 при проведении закупки.</w:t>
        </w:r>
        <w:r>
          <w:tab/>
        </w:r>
        <w:r>
          <w:fldChar w:fldCharType="begin"/>
        </w:r>
        <w:r>
          <w:instrText xml:space="preserve"> PAGEREF _Toc243045041 \h </w:instrText>
        </w:r>
        <w:r/>
        <w:r>
          <w:fldChar w:fldCharType="separate"/>
        </w:r>
        <w:r>
          <w:t xml:space="preserve">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42" w:anchor="_Toc243045042" w:history="1">
        <w:r>
          <w:rPr>
            <w:rStyle w:val="1402"/>
          </w:rPr>
          <w:t xml:space="preserve">2.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ДОКУМЕНТАЦИЯ О ЗАКУПКЕ</w:t>
        </w:r>
        <w:r>
          <w:tab/>
        </w:r>
        <w:r>
          <w:fldChar w:fldCharType="begin"/>
        </w:r>
        <w:r>
          <w:instrText xml:space="preserve"> PAGEREF _Toc243045042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3" w:anchor="_Toc243045043" w:history="1">
        <w:r>
          <w:rPr>
            <w:rStyle w:val="1402"/>
          </w:rPr>
          <w:t xml:space="preserve">2.1.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Предоставление документации о закупке</w:t>
        </w:r>
        <w:r>
          <w:tab/>
        </w:r>
        <w:r>
          <w:fldChar w:fldCharType="begin"/>
        </w:r>
        <w:r>
          <w:instrText xml:space="preserve"> PAGEREF _Toc243045043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4" w:anchor="_Toc243045044" w:history="1">
        <w:r>
          <w:rPr>
            <w:rStyle w:val="1402"/>
          </w:rPr>
          <w:t xml:space="preserve">2.2.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Разъяснение положений документации о закупке</w:t>
        </w:r>
        <w:r>
          <w:tab/>
        </w:r>
        <w:r>
          <w:fldChar w:fldCharType="begin"/>
        </w:r>
        <w:r>
          <w:instrText xml:space="preserve"> PAGEREF _Toc243045044 \h </w:instrText>
        </w:r>
        <w:r/>
        <w:r>
          <w:fldChar w:fldCharType="separate"/>
        </w:r>
        <w:r>
          <w:t xml:space="preserve">10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5" w:anchor="_Toc243045045" w:history="1">
        <w:r>
          <w:rPr>
            <w:rStyle w:val="1402"/>
          </w:rPr>
          <w:t xml:space="preserve">2.3.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Внесение изменений в извещение о закупке и/или документацию о закупке</w:t>
        </w:r>
        <w:r>
          <w:tab/>
        </w:r>
        <w:r>
          <w:fldChar w:fldCharType="begin"/>
        </w:r>
        <w:r>
          <w:instrText xml:space="preserve"> PAGEREF _Toc243045045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6" w:anchor="_Toc243045046" w:history="1">
        <w:r>
          <w:rPr>
            <w:rStyle w:val="1402"/>
          </w:rPr>
          <w:t xml:space="preserve">2.4.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Отмена закупки</w:t>
        </w:r>
        <w:r>
          <w:tab/>
        </w:r>
        <w:r>
          <w:fldChar w:fldCharType="begin"/>
        </w:r>
        <w:r>
          <w:instrText xml:space="preserve"> PAGEREF _Toc243045046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47" w:anchor="_Toc243045047" w:history="1">
        <w:r>
          <w:rPr>
            <w:rStyle w:val="1402"/>
          </w:rPr>
          <w:t xml:space="preserve">3.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СОДЕРЖАНИЮ ЗАЯВКИ НА УЧАСТИЕ В ЗАКУПКЕ</w:t>
        </w:r>
        <w:r>
          <w:tab/>
        </w:r>
        <w:r>
          <w:fldChar w:fldCharType="begin"/>
        </w:r>
        <w:r>
          <w:instrText xml:space="preserve"> PAGEREF _Toc243045047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8" w:anchor="_Toc243045048" w:history="1">
        <w:r>
          <w:rPr>
            <w:rStyle w:val="1402"/>
          </w:rPr>
          <w:t xml:space="preserve">3.1.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оформлению заявки на участие в закупке</w:t>
        </w:r>
        <w:r>
          <w:tab/>
        </w:r>
        <w:r>
          <w:fldChar w:fldCharType="begin"/>
        </w:r>
        <w:r>
          <w:instrText xml:space="preserve"> PAGEREF _Toc243045048 \h </w:instrText>
        </w:r>
        <w:r/>
        <w:r>
          <w:fldChar w:fldCharType="separate"/>
        </w:r>
        <w:r>
          <w:t xml:space="preserve">11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49" w:anchor="_Toc243045049" w:history="1">
        <w:r>
          <w:rPr>
            <w:rStyle w:val="1402"/>
          </w:rPr>
          <w:t xml:space="preserve">3.2.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Язык документов, входящих в состав заявки на участие в закупке</w:t>
        </w:r>
        <w:r>
          <w:tab/>
        </w:r>
        <w:r>
          <w:fldChar w:fldCharType="begin"/>
        </w:r>
        <w:r>
          <w:instrText xml:space="preserve"> PAGEREF _Toc243045049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0" w:anchor="_Toc243045050" w:history="1">
        <w:r>
          <w:rPr>
            <w:rStyle w:val="1402"/>
          </w:rPr>
          <w:t xml:space="preserve">3.3.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валюте заявки</w:t>
        </w:r>
        <w:r>
          <w:tab/>
        </w:r>
        <w:r>
          <w:fldChar w:fldCharType="begin"/>
        </w:r>
        <w:r>
          <w:instrText xml:space="preserve"> PAGEREF _Toc243045050 \h </w:instrText>
        </w:r>
        <w:r/>
        <w:r>
          <w:fldChar w:fldCharType="separate"/>
        </w:r>
        <w:r>
          <w:t xml:space="preserve">12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1" w:anchor="_Toc243045051" w:history="1">
        <w:r>
          <w:rPr>
            <w:rStyle w:val="1402"/>
          </w:rPr>
          <w:t xml:space="preserve">3.4.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составу заявки на участие в закупке</w:t>
        </w:r>
        <w:r>
          <w:tab/>
        </w:r>
        <w:r>
          <w:fldChar w:fldCharType="begin"/>
        </w:r>
        <w:r>
          <w:instrText xml:space="preserve"> PAGEREF _Toc243045051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2" w:anchor="_Toc243045052" w:history="1">
        <w:r>
          <w:rPr>
            <w:rStyle w:val="1402"/>
          </w:rPr>
          <w:t xml:space="preserve">3.5.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описанию предложения участника закупки</w:t>
        </w:r>
        <w:r>
          <w:tab/>
        </w:r>
        <w:r>
          <w:fldChar w:fldCharType="begin"/>
        </w:r>
        <w:r>
          <w:instrText xml:space="preserve"> PAGEREF _Toc243045052 \h </w:instrText>
        </w:r>
        <w:r/>
        <w:r>
          <w:fldChar w:fldCharType="separate"/>
        </w:r>
        <w:r>
          <w:t xml:space="preserve">13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3" w:anchor="_Toc243045053" w:history="1">
        <w:r>
          <w:rPr>
            <w:rStyle w:val="1402"/>
          </w:rPr>
          <w:t xml:space="preserve">3.6.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обеспечению заявок на участие в закупке</w:t>
        </w:r>
        <w:r>
          <w:tab/>
        </w:r>
        <w:r>
          <w:fldChar w:fldCharType="begin"/>
        </w:r>
        <w:r>
          <w:instrText xml:space="preserve"> PAGEREF _Toc243045053 \h </w:instrText>
        </w:r>
        <w:r/>
        <w:r>
          <w:fldChar w:fldCharType="separate"/>
        </w:r>
        <w:r>
          <w:t xml:space="preserve">14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54" w:anchor="_Toc243045054" w:history="1">
        <w:r>
          <w:rPr>
            <w:rStyle w:val="1402"/>
          </w:rPr>
          <w:t xml:space="preserve">4.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ПОДАЧА ЗАЯВОК НА УЧАСТИЕ В ЗАКУПКЕ</w:t>
        </w:r>
        <w:r>
          <w:tab/>
        </w:r>
        <w:r>
          <w:fldChar w:fldCharType="begin"/>
        </w:r>
        <w:r>
          <w:instrText xml:space="preserve"> PAGEREF _Toc243045054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5" w:anchor="_Toc243045055" w:history="1">
        <w:r>
          <w:rPr>
            <w:rStyle w:val="1402"/>
          </w:rPr>
          <w:t xml:space="preserve">4.1.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Порядок, место, дата начала и дата окончания срока подачи заявок на участие в закупке</w:t>
        </w:r>
        <w:r>
          <w:tab/>
        </w:r>
        <w:r>
          <w:fldChar w:fldCharType="begin"/>
        </w:r>
        <w:r>
          <w:instrText xml:space="preserve"> PAGEREF _Toc243045055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6" w:anchor="_Toc243045056" w:history="1">
        <w:r>
          <w:rPr>
            <w:rStyle w:val="1402"/>
          </w:rPr>
          <w:t xml:space="preserve">4.2.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Изменения и отзыв заявок на участие в закупке</w:t>
        </w:r>
        <w:r>
          <w:tab/>
        </w:r>
        <w:r>
          <w:fldChar w:fldCharType="begin"/>
        </w:r>
        <w:r>
          <w:instrText xml:space="preserve"> PAGEREF _Toc243045056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57" w:anchor="_Toc243045057" w:history="1">
        <w:r>
          <w:rPr>
            <w:rStyle w:val="1402"/>
          </w:rPr>
          <w:t xml:space="preserve">5.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ПОРЯДОК ПРОВЕДЕНИЯ ЗАКУПКИ</w:t>
        </w:r>
        <w:r>
          <w:tab/>
        </w:r>
        <w:r>
          <w:fldChar w:fldCharType="begin"/>
        </w:r>
        <w:r>
          <w:instrText xml:space="preserve"> PAGEREF _Toc243045057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8" w:anchor="_Toc243045058" w:history="1">
        <w:r>
          <w:rPr>
            <w:rStyle w:val="1402"/>
          </w:rPr>
          <w:t xml:space="preserve">5.1.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Общий порядок проведения закупки</w:t>
        </w:r>
        <w:r>
          <w:tab/>
        </w:r>
        <w:r>
          <w:fldChar w:fldCharType="begin"/>
        </w:r>
        <w:r>
          <w:instrText xml:space="preserve"> PAGEREF _Toc243045058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59" w:anchor="_Toc243045059" w:history="1">
        <w:r>
          <w:rPr>
            <w:rStyle w:val="1402"/>
          </w:rPr>
          <w:t xml:space="preserve">5.2.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Закупочная комиссия</w:t>
        </w:r>
        <w:r>
          <w:tab/>
        </w:r>
        <w:r>
          <w:fldChar w:fldCharType="begin"/>
        </w:r>
        <w:r>
          <w:instrText xml:space="preserve"> PAGEREF _Toc243045059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0" w:anchor="_Toc243045060" w:history="1">
        <w:r>
          <w:rPr>
            <w:rStyle w:val="1402"/>
          </w:rPr>
          <w:t xml:space="preserve">5.3.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Открытие доступа к заявкам.</w:t>
        </w:r>
        <w:r>
          <w:tab/>
        </w:r>
        <w:r>
          <w:fldChar w:fldCharType="begin"/>
        </w:r>
        <w:r>
          <w:instrText xml:space="preserve"> PAGEREF _Toc243045060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1" w:anchor="_Toc243045061" w:history="1">
        <w:r>
          <w:rPr>
            <w:rStyle w:val="1402"/>
          </w:rPr>
          <w:t xml:space="preserve">5.4.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Рассмотрение заявок участников закупки</w:t>
        </w:r>
        <w:r>
          <w:tab/>
        </w:r>
        <w:r>
          <w:fldChar w:fldCharType="begin"/>
        </w:r>
        <w:r>
          <w:instrText xml:space="preserve"> PAGEREF _Toc243045061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2" w:anchor="_Toc243045062" w:history="1">
        <w:r>
          <w:rPr>
            <w:rStyle w:val="1402"/>
          </w:rPr>
          <w:t xml:space="preserve">5.5.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Подведение итогов закупки, в рамках которых осуществляется оценка и сопоставление заявок участников, допущенных до участия в закупке по результатам рассмотрения заявок и проведения переторжки.</w:t>
        </w:r>
        <w:r>
          <w:tab/>
        </w:r>
        <w:r>
          <w:fldChar w:fldCharType="begin"/>
        </w:r>
        <w:r>
          <w:instrText xml:space="preserve"> PAGEREF _Toc243045062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3" w:anchor="_Toc243045063" w:history="1">
        <w:r>
          <w:rPr>
            <w:rStyle w:val="1402"/>
          </w:rPr>
          <w:t xml:space="preserve">5.6.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Проведение преддоговорных переговоров</w:t>
        </w:r>
        <w:r>
          <w:tab/>
        </w:r>
        <w:r>
          <w:fldChar w:fldCharType="begin"/>
        </w:r>
        <w:r>
          <w:instrText xml:space="preserve"> PAGEREF _Toc243045063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4" w:anchor="_Toc243045064" w:history="1">
        <w:r>
          <w:rPr>
            <w:rStyle w:val="1402"/>
          </w:rPr>
          <w:t xml:space="preserve">5.7.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Признание закупки несостоявшейся</w:t>
        </w:r>
        <w:r>
          <w:tab/>
        </w:r>
        <w:r>
          <w:fldChar w:fldCharType="begin"/>
        </w:r>
        <w:r>
          <w:instrText xml:space="preserve"> PAGEREF _Toc243045064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5" w:anchor="_Toc243045065" w:history="1">
        <w:r>
          <w:rPr>
            <w:rStyle w:val="1402"/>
          </w:rPr>
          <w:t xml:space="preserve">5.8.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Рассмотрение жалоб и обращений участников закупки</w:t>
        </w:r>
        <w:r>
          <w:tab/>
        </w:r>
        <w:r>
          <w:fldChar w:fldCharType="begin"/>
        </w:r>
        <w:r>
          <w:instrText xml:space="preserve"> PAGEREF _Toc243045065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66" w:anchor="_Toc243045066" w:history="1">
        <w:r>
          <w:rPr>
            <w:rStyle w:val="1402"/>
          </w:rPr>
          <w:t xml:space="preserve">6.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ЗАКЛЮЧЕНИЕ, ИЗМЕНЕНИЕ И РАСТОРЖЕНИЕ ДОГОВОРА</w:t>
        </w:r>
        <w:r>
          <w:tab/>
        </w:r>
        <w:r>
          <w:fldChar w:fldCharType="begin"/>
        </w:r>
        <w:r>
          <w:instrText xml:space="preserve"> PAGEREF _Toc243045066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7" w:anchor="_Toc243045067" w:history="1">
        <w:r>
          <w:rPr>
            <w:rStyle w:val="1402"/>
          </w:rPr>
          <w:t xml:space="preserve">6.1.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Срок и порядок заключения договора</w:t>
        </w:r>
        <w:r>
          <w:tab/>
        </w:r>
        <w:r>
          <w:fldChar w:fldCharType="begin"/>
        </w:r>
        <w:r>
          <w:instrText xml:space="preserve"> PAGEREF _Toc243045067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8" w:anchor="_Toc243045068" w:history="1">
        <w:r>
          <w:rPr>
            <w:rStyle w:val="1402"/>
          </w:rPr>
          <w:t xml:space="preserve">6.2.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Обеспечение исполнения договора, порядок предоставления такого обеспечения, требования к такому обеспечению</w:t>
        </w:r>
        <w:r>
          <w:tab/>
        </w:r>
        <w:r>
          <w:fldChar w:fldCharType="begin"/>
        </w:r>
        <w:r>
          <w:instrText xml:space="preserve"> PAGEREF _Toc243045068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69" w:anchor="_Toc243045069" w:history="1">
        <w:r>
          <w:rPr>
            <w:rStyle w:val="1402"/>
          </w:rPr>
          <w:t xml:space="preserve">6.3.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Требования к условиям независимой гарантии, выданной в качестве обеспечения исполнения договора</w:t>
        </w:r>
        <w:r>
          <w:tab/>
        </w:r>
        <w:r>
          <w:fldChar w:fldCharType="begin"/>
        </w:r>
        <w:r>
          <w:instrText xml:space="preserve"> PAGEREF _Toc243045069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72" w:anchor="_Toc243045072" w:history="1">
        <w:r>
          <w:rPr>
            <w:rStyle w:val="1402"/>
          </w:rPr>
          <w:t xml:space="preserve">6.4.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Порядок предоставления обеспечения исполнения обязательств по договору в случае заключения договора с аномально низкой ценой.</w:t>
        </w:r>
        <w:r>
          <w:tab/>
        </w:r>
        <w:r>
          <w:fldChar w:fldCharType="begin"/>
        </w:r>
        <w:r>
          <w:instrText xml:space="preserve"> PAGEREF _Toc243045072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74" w:anchor="_Toc243045074" w:history="1">
        <w:r>
          <w:rPr>
            <w:rStyle w:val="1402"/>
          </w:rPr>
          <w:t xml:space="preserve">6.5.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Отказ от заключения договора</w:t>
        </w:r>
        <w:r>
          <w:tab/>
        </w:r>
        <w:r>
          <w:fldChar w:fldCharType="begin"/>
        </w:r>
        <w:r>
          <w:instrText xml:space="preserve"> PAGEREF _Toc243045074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75" w:anchor="_Toc243045075" w:history="1">
        <w:r>
          <w:rPr>
            <w:rStyle w:val="1402"/>
          </w:rPr>
          <w:t xml:space="preserve">6.6.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Изменение и расторжение договора</w:t>
        </w:r>
        <w:r>
          <w:tab/>
        </w:r>
        <w:r>
          <w:fldChar w:fldCharType="begin"/>
        </w:r>
        <w:r>
          <w:instrText xml:space="preserve"> PAGEREF _Toc243045075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76" w:anchor="_Toc243045076" w:history="1">
        <w:r>
          <w:rPr>
            <w:rStyle w:val="1402"/>
            <w:lang w:val="en-US"/>
          </w:rPr>
          <w:t xml:space="preserve">II</w:t>
        </w:r>
        <w:r>
          <w:rPr>
            <w:rStyle w:val="1402"/>
          </w:rPr>
          <w:t xml:space="preserve">.ИНФОРМАЦИОННАЯ КАРТА ЗАКУПКИ</w:t>
        </w:r>
        <w:r>
          <w:tab/>
        </w:r>
        <w:r>
          <w:fldChar w:fldCharType="begin"/>
        </w:r>
        <w:r>
          <w:instrText xml:space="preserve"> PAGEREF _Toc243045076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77" w:anchor="_Toc243045077" w:history="1">
        <w:r>
          <w:rPr>
            <w:rStyle w:val="1402"/>
          </w:rPr>
          <w:t xml:space="preserve">Приложение № 1</w:t>
        </w:r>
        <w:r>
          <w:tab/>
        </w:r>
        <w:r>
          <w:fldChar w:fldCharType="begin"/>
        </w:r>
        <w:r>
          <w:instrText xml:space="preserve"> PAGEREF _Toc243045077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78" w:anchor="_Toc243045078" w:history="1">
        <w:r>
          <w:rPr>
            <w:rStyle w:val="1402"/>
          </w:rPr>
          <w:t xml:space="preserve">Приложение № 2</w:t>
        </w:r>
        <w:r>
          <w:tab/>
        </w:r>
        <w:r>
          <w:fldChar w:fldCharType="begin"/>
        </w:r>
        <w:r>
          <w:instrText xml:space="preserve"> PAGEREF _Toc243045078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72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79" w:anchor="_Toc243045079" w:history="1">
        <w:r>
          <w:rPr>
            <w:rStyle w:val="1402"/>
          </w:rPr>
          <w:t xml:space="preserve">III.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ОБРАЗЦЫ ФОРМ ДЛЯ ЗАПОЛНЕНИЯ УЧАСТНИКАМИ ЗАКУПКИ</w:t>
        </w:r>
        <w:r>
          <w:tab/>
        </w:r>
        <w:r>
          <w:fldChar w:fldCharType="begin"/>
        </w:r>
        <w:r>
          <w:instrText xml:space="preserve"> PAGEREF _Toc243045079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0" w:anchor="_Toc243045080" w:history="1">
        <w:r>
          <w:rPr>
            <w:rStyle w:val="1402"/>
          </w:rPr>
          <w:t xml:space="preserve">Форма 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ПИСЬМО О ПОДАЧЕ ОФЕРТЫ</w:t>
        </w:r>
        <w:r>
          <w:tab/>
        </w:r>
        <w:r>
          <w:fldChar w:fldCharType="begin"/>
        </w:r>
        <w:r>
          <w:instrText xml:space="preserve"> PAGEREF _Toc243045080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1" w:anchor="_Toc243045081" w:history="1">
        <w:r>
          <w:rPr>
            <w:rStyle w:val="1402"/>
          </w:rPr>
          <w:t xml:space="preserve">Форма 2.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Техническое предложение</w:t>
        </w:r>
        <w:r>
          <w:tab/>
        </w:r>
        <w:r>
          <w:fldChar w:fldCharType="begin"/>
        </w:r>
        <w:r>
          <w:instrText xml:space="preserve"> PAGEREF _Toc243045081 \h </w:instrText>
        </w:r>
        <w:r/>
        <w:r>
          <w:fldChar w:fldCharType="separate"/>
        </w:r>
        <w:r>
          <w:t xml:space="preserve">48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2" w:anchor="_Toc243045082" w:history="1">
        <w:r>
          <w:rPr>
            <w:rStyle w:val="1402"/>
          </w:rPr>
          <w:t xml:space="preserve">Форма 3.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График выполнения работ</w:t>
        </w:r>
        <w:r>
          <w:tab/>
        </w:r>
        <w:r>
          <w:fldChar w:fldCharType="begin"/>
        </w:r>
        <w:r>
          <w:instrText xml:space="preserve"> PAGEREF _Toc243045082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3" w:anchor="_Toc243045083" w:history="1">
        <w:r>
          <w:rPr>
            <w:rStyle w:val="1402"/>
          </w:rPr>
          <w:t xml:space="preserve">Форма 4.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Сводная таблица стоимости выполнения работ</w:t>
        </w:r>
        <w:r>
          <w:tab/>
        </w:r>
        <w:r>
          <w:fldChar w:fldCharType="begin"/>
        </w:r>
        <w:r>
          <w:instrText xml:space="preserve"> PAGEREF _Toc243045083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4" w:anchor="_Toc243045084" w:history="1">
        <w:r>
          <w:rPr>
            <w:rStyle w:val="1402"/>
          </w:rPr>
          <w:t xml:space="preserve">Форма 5.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1. Анкета Участника закупки</w:t>
        </w:r>
        <w:r>
          <w:tab/>
        </w:r>
        <w:r>
          <w:fldChar w:fldCharType="begin"/>
        </w:r>
        <w:r>
          <w:instrText xml:space="preserve"> PAGEREF _Toc243045084 \h </w:instrText>
        </w:r>
        <w:r/>
        <w:r>
          <w:fldChar w:fldCharType="separate"/>
        </w:r>
        <w:r>
          <w:t xml:space="preserve">51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5" w:anchor="_Toc243045085" w:history="1">
        <w:r>
          <w:rPr>
            <w:rStyle w:val="1402"/>
          </w:rPr>
          <w:t xml:space="preserve">Форма 5.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2.   Справка о цепочке собственников</w:t>
        </w:r>
        <w:r>
          <w:tab/>
        </w:r>
        <w:r>
          <w:fldChar w:fldCharType="begin"/>
        </w:r>
        <w:r>
          <w:instrText xml:space="preserve"> PAGEREF _Toc243045085 \h </w:instrText>
        </w:r>
        <w:r/>
        <w:r>
          <w:fldChar w:fldCharType="separate"/>
        </w:r>
        <w:r>
          <w:t xml:space="preserve">52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6" w:anchor="_Toc243045086" w:history="1">
        <w:r>
          <w:rPr>
            <w:rStyle w:val="1402"/>
          </w:rPr>
          <w:t xml:space="preserve">Форма 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1. Справка о наличии опыта выполнения работ по созданию и/или </w:t>
        </w:r>
        <w:r>
          <w:rPr>
            <w:rStyle w:val="1402"/>
          </w:rPr>
          <w:t xml:space="preserve">внедрению и/или доработке и/или развитию и/или модернизации автоматизированной системы управления персоналом (включая процесс расчета заработной платы) для нужд компании, являющейся субъектом критической информационной инфраструктуры, за последние три года</w:t>
        </w:r>
        <w:r>
          <w:tab/>
        </w:r>
        <w:r>
          <w:fldChar w:fldCharType="begin"/>
        </w:r>
        <w:r>
          <w:instrText xml:space="preserve"> PAGEREF _Toc243045086 \h </w:instrText>
        </w:r>
        <w:r/>
        <w:r>
          <w:fldChar w:fldCharType="separate"/>
        </w:r>
        <w:r>
          <w:t xml:space="preserve">53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7" w:anchor="_Toc243045087" w:history="1">
        <w:r>
          <w:rPr>
            <w:rStyle w:val="1402"/>
          </w:rPr>
          <w:t xml:space="preserve">Форма 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2. Справка для оценки опыта испо</w:t>
        </w:r>
        <w:r>
          <w:rPr>
            <w:rStyle w:val="1402"/>
          </w:rPr>
          <w:t xml:space="preserve">лнения за последние 3 (три) года договоров по созданию и/или внедрению и/или доработке и/или развитию и/или модернизации автоматизированной системы управления персоналом (включая процесс расчета заработной платы) для нужд компаний электросетевого комплекса</w:t>
        </w:r>
        <w:r>
          <w:tab/>
        </w:r>
        <w:r>
          <w:fldChar w:fldCharType="begin"/>
        </w:r>
        <w:r>
          <w:instrText xml:space="preserve"> PAGEREF _Toc243045087 \h </w:instrText>
        </w:r>
        <w:r/>
        <w:r>
          <w:fldChar w:fldCharType="separate"/>
        </w:r>
        <w:r>
          <w:t xml:space="preserve">54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8" w:anchor="_Toc243045088" w:history="1">
        <w:r>
          <w:rPr>
            <w:rStyle w:val="1402"/>
          </w:rPr>
          <w:t xml:space="preserve">Форма 6.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3. Справка для оценки опыта исполнения за последние 3 (три) года договоров по созданию и/или внедрению и/или разработке и/или развитию и/или модернизации и/или расширению информационных и/или автомат</w:t>
        </w:r>
        <w:r>
          <w:rPr>
            <w:rStyle w:val="1402"/>
          </w:rPr>
          <w:t xml:space="preserve">изированных систем управления на базе программного обеспечения, включенного в Единый реестр российских программ для электронных вычислительных машин и баз данных для нужд компаний, имеющих территориально распределенную сеть филиалов (от 3 филиалов и более)</w:t>
        </w:r>
        <w:r>
          <w:tab/>
        </w:r>
        <w:r>
          <w:fldChar w:fldCharType="begin"/>
        </w:r>
        <w:r>
          <w:instrText xml:space="preserve"> PAGEREF _Toc243045088 \h </w:instrText>
        </w:r>
        <w:r/>
        <w:r>
          <w:fldChar w:fldCharType="separate"/>
        </w:r>
        <w:r>
          <w:t xml:space="preserve">55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89" w:anchor="_Toc243045089" w:history="1">
        <w:r>
          <w:rPr>
            <w:rStyle w:val="1402"/>
          </w:rPr>
          <w:t xml:space="preserve">Форма 7.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Справка о привлекаемых кадровых ресурсах</w:t>
        </w:r>
        <w:r>
          <w:tab/>
        </w:r>
        <w:r>
          <w:fldChar w:fldCharType="begin"/>
        </w:r>
        <w:r>
          <w:instrText xml:space="preserve"> PAGEREF _Toc243045089 \h </w:instrText>
        </w:r>
        <w:r/>
        <w:r>
          <w:fldChar w:fldCharType="separate"/>
        </w:r>
        <w:r>
          <w:t xml:space="preserve">56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90" w:anchor="_Toc243045090" w:history="1">
        <w:r>
          <w:rPr>
            <w:rStyle w:val="1402"/>
          </w:rPr>
          <w:t xml:space="preserve">Форма 7.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1. Резюме работника</w:t>
        </w:r>
        <w:r>
          <w:tab/>
        </w:r>
        <w:r>
          <w:fldChar w:fldCharType="begin"/>
        </w:r>
        <w:r>
          <w:instrText xml:space="preserve"> PAGEREF _Toc243045090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91" w:anchor="_Toc243045091" w:history="1">
        <w:r>
          <w:rPr>
            <w:rStyle w:val="1402"/>
          </w:rPr>
          <w:t xml:space="preserve">Форма 8.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Независимая гарантия обеспечения исполнения обязательств участника закупки</w:t>
        </w:r>
        <w:r>
          <w:tab/>
        </w:r>
        <w:r>
          <w:fldChar w:fldCharType="begin"/>
        </w:r>
        <w:r>
          <w:instrText xml:space="preserve"> PAGEREF _Toc243045091 \h </w:instrText>
        </w:r>
        <w:r/>
        <w:r>
          <w:fldChar w:fldCharType="separate"/>
        </w:r>
        <w:r>
          <w:t xml:space="preserve">58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92" w:anchor="_Toc243045092" w:history="1">
        <w:r>
          <w:rPr>
            <w:rStyle w:val="1402"/>
          </w:rPr>
          <w:t xml:space="preserve">Форма 9.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Согласие на обработку персональных данных</w:t>
        </w:r>
        <w:r>
          <w:tab/>
        </w:r>
        <w:r>
          <w:fldChar w:fldCharType="begin"/>
        </w:r>
        <w:r>
          <w:instrText xml:space="preserve"> PAGEREF _Toc243045092 \h </w:instrText>
        </w:r>
        <w:r/>
        <w:r>
          <w:fldChar w:fldCharType="separate"/>
        </w:r>
        <w:r>
          <w:t xml:space="preserve">60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93" w:anchor="_Toc243045093" w:history="1">
        <w:r>
          <w:rPr>
            <w:rStyle w:val="1402"/>
          </w:rPr>
          <w:t xml:space="preserve">Форма 10.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Декларация соответствия</w:t>
        </w:r>
        <w:r>
          <w:tab/>
        </w:r>
        <w:r>
          <w:fldChar w:fldCharType="begin"/>
        </w:r>
        <w:r>
          <w:instrText xml:space="preserve"> PAGEREF _Toc243045093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7"/>
        <w:rPr>
          <w:rFonts w:asciiTheme="minorHAnsi" w:hAnsiTheme="minorHAnsi" w:eastAsiaTheme="minorEastAsia" w:cstheme="minorBidi"/>
          <w:smallCaps w:val="0"/>
          <w:sz w:val="22"/>
          <w:szCs w:val="22"/>
        </w:rPr>
      </w:pPr>
      <w:r/>
      <w:hyperlink w:tooltip="#_Toc243045094" w:anchor="_Toc243045094" w:history="1">
        <w:r>
          <w:rPr>
            <w:rStyle w:val="1402"/>
          </w:rPr>
          <w:t xml:space="preserve">Форма 11.</w:t>
        </w:r>
        <w:r>
          <w:rPr>
            <w:rFonts w:asciiTheme="minorHAnsi" w:hAnsiTheme="minorHAnsi" w:eastAsiaTheme="minorEastAsia" w:cstheme="minorBidi"/>
            <w:smallCaps w:val="0"/>
            <w:sz w:val="22"/>
            <w:szCs w:val="22"/>
          </w:rPr>
          <w:tab/>
        </w:r>
        <w:r>
          <w:rPr>
            <w:rStyle w:val="1402"/>
          </w:rPr>
          <w:t xml:space="preserve">Согласие на обработку персональных данных</w:t>
        </w:r>
        <w:r>
          <w:tab/>
        </w:r>
        <w:r>
          <w:fldChar w:fldCharType="begin"/>
        </w:r>
        <w:r>
          <w:instrText xml:space="preserve"> PAGEREF _Toc243045094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mallCaps w:val="0"/>
          <w:sz w:val="22"/>
          <w:szCs w:val="22"/>
        </w:rPr>
      </w:r>
    </w:p>
    <w:p>
      <w:pPr>
        <w:pStyle w:val="1366"/>
        <w:tabs>
          <w:tab w:val="left" w:pos="72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95" w:anchor="_Toc243045095" w:history="1">
        <w:r>
          <w:rPr>
            <w:rStyle w:val="1402"/>
          </w:rPr>
          <w:t xml:space="preserve">IV.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ПРОЕКТ ДОГОВОРА</w:t>
        </w:r>
        <w:r>
          <w:tab/>
        </w:r>
        <w:r>
          <w:fldChar w:fldCharType="begin"/>
        </w:r>
        <w:r>
          <w:instrText xml:space="preserve"> PAGEREF _Toc243045095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6"/>
        <w:tabs>
          <w:tab w:val="left" w:pos="48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96" w:anchor="_Toc243045096" w:history="1">
        <w:r>
          <w:rPr>
            <w:rStyle w:val="1402"/>
          </w:rPr>
          <w:t xml:space="preserve">V.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ТЕХНИЧЕСКАЯ ЧАСТЬ</w:t>
        </w:r>
        <w:r>
          <w:tab/>
        </w:r>
        <w:r>
          <w:fldChar w:fldCharType="begin"/>
        </w:r>
        <w:r>
          <w:instrText xml:space="preserve"> PAGEREF _Toc243045096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366"/>
        <w:tabs>
          <w:tab w:val="left" w:pos="720" w:leader="none"/>
          <w:tab w:val="right" w:pos="9348" w:leader="dot"/>
        </w:tabs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pPr>
      <w:r/>
      <w:hyperlink w:tooltip="#_Toc243045097" w:anchor="_Toc243045097" w:history="1">
        <w:r>
          <w:rPr>
            <w:rStyle w:val="1402"/>
          </w:rPr>
          <w:t xml:space="preserve">VI.</w:t>
        </w:r>
        <w:r>
          <w:rPr>
            <w:rFonts w:asciiTheme="minorHAnsi" w:hAnsiTheme="minorHAnsi" w:eastAsiaTheme="minorEastAsia" w:cstheme="minorBidi"/>
            <w:b w:val="0"/>
            <w:bCs w:val="0"/>
            <w:caps w:val="0"/>
            <w:sz w:val="22"/>
            <w:szCs w:val="22"/>
          </w:rPr>
          <w:tab/>
        </w:r>
        <w:r>
          <w:rPr>
            <w:rStyle w:val="1402"/>
          </w:rPr>
          <w:t xml:space="preserve">Обоснование начальной (максимальной) цены ДОГОВОРА</w:t>
        </w:r>
        <w:r>
          <w:tab/>
        </w:r>
        <w:r>
          <w:fldChar w:fldCharType="begin"/>
        </w:r>
        <w:r>
          <w:instrText xml:space="preserve"> PAGEREF _Toc243045097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caps w:val="0"/>
          <w:sz w:val="22"/>
          <w:szCs w:val="22"/>
        </w:rPr>
      </w:r>
    </w:p>
    <w:p>
      <w:pPr>
        <w:pStyle w:val="1114"/>
        <w:ind w:left="567" w:firstLine="0"/>
        <w:jc w:val="both"/>
        <w:pageBreakBefore/>
        <w:spacing w:before="0" w:after="0"/>
        <w:tabs>
          <w:tab w:val="clear" w:pos="432" w:leader="none"/>
        </w:tabs>
        <w:rPr>
          <w:lang w:val="en-US"/>
        </w:rPr>
      </w:pPr>
      <w:r>
        <w:rPr>
          <w:b w:val="0"/>
          <w:bCs w:val="0"/>
          <w:i/>
          <w:iCs/>
          <w:caps/>
          <w:smallCaps/>
          <w:sz w:val="22"/>
          <w:szCs w:val="22"/>
        </w:rPr>
        <w:fldChar w:fldCharType="end"/>
      </w:r>
      <w:r>
        <w:rPr>
          <w:lang w:val="en-US"/>
        </w:rPr>
      </w:r>
    </w:p>
    <w:p>
      <w:pPr>
        <w:pStyle w:val="1114"/>
        <w:numPr>
          <w:ilvl w:val="0"/>
          <w:numId w:val="6"/>
        </w:numPr>
        <w:ind w:left="0" w:firstLine="567"/>
        <w:keepNext w:val="0"/>
        <w:spacing w:before="0" w:after="0"/>
        <w:rPr>
          <w:rStyle w:val="1477"/>
          <w:b/>
          <w:bCs/>
          <w:caps/>
          <w:sz w:val="24"/>
          <w:szCs w:val="24"/>
        </w:rPr>
      </w:pPr>
      <w:r/>
      <w:bookmarkStart w:id="1" w:name="_Ref166642713"/>
      <w:r/>
      <w:bookmarkStart w:id="2" w:name="_Toc243045033"/>
      <w:r>
        <w:rPr>
          <w:rStyle w:val="1477"/>
          <w:b/>
          <w:bCs/>
          <w:caps/>
          <w:sz w:val="24"/>
          <w:szCs w:val="24"/>
        </w:rPr>
        <w:t xml:space="preserve">ОБЩИЕ УСЛОВИЯ ПРОВЕДЕНИЯ </w:t>
      </w:r>
      <w:bookmarkEnd w:id="1"/>
      <w:r>
        <w:rPr>
          <w:rStyle w:val="1477"/>
          <w:b/>
          <w:bCs/>
          <w:caps/>
          <w:sz w:val="24"/>
          <w:szCs w:val="24"/>
        </w:rPr>
        <w:t xml:space="preserve">закупки</w:t>
      </w:r>
      <w:bookmarkEnd w:id="2"/>
      <w:r/>
      <w:r>
        <w:rPr>
          <w:rStyle w:val="1477"/>
          <w:b/>
          <w:bCs/>
          <w:caps/>
          <w:sz w:val="24"/>
          <w:szCs w:val="24"/>
        </w:rPr>
      </w:r>
    </w:p>
    <w:p>
      <w:pPr>
        <w:pStyle w:val="1114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sz w:val="24"/>
          <w:szCs w:val="24"/>
        </w:rPr>
      </w:pPr>
      <w:r/>
      <w:bookmarkStart w:id="3" w:name="_Toc123405451"/>
      <w:r/>
      <w:bookmarkStart w:id="4" w:name="_Toc166101206"/>
      <w:r/>
      <w:bookmarkStart w:id="5" w:name="_Ref166101247"/>
      <w:r/>
      <w:bookmarkStart w:id="6" w:name="_Ref166101251"/>
      <w:r/>
      <w:bookmarkStart w:id="7" w:name="_Toc126935818"/>
      <w:r/>
      <w:bookmarkStart w:id="8" w:name="_Toc132974733"/>
      <w:r/>
      <w:bookmarkStart w:id="9" w:name="_Toc243045034"/>
      <w:r>
        <w:rPr>
          <w:sz w:val="24"/>
          <w:szCs w:val="24"/>
        </w:rPr>
        <w:t xml:space="preserve">ОБЩИЕ ПОЛОЖЕНИЯ</w:t>
      </w:r>
      <w:bookmarkEnd w:id="3"/>
      <w:r/>
      <w:bookmarkEnd w:id="4"/>
      <w:r/>
      <w:bookmarkEnd w:id="5"/>
      <w:r/>
      <w:bookmarkEnd w:id="6"/>
      <w:r/>
      <w:bookmarkEnd w:id="7"/>
      <w:r/>
      <w:bookmarkEnd w:id="8"/>
      <w:r/>
      <w:bookmarkEnd w:id="9"/>
      <w:r/>
      <w:r>
        <w:rPr>
          <w:sz w:val="24"/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10" w:name="_Toc126935819"/>
      <w:r/>
      <w:bookmarkStart w:id="11" w:name="_Toc132974734"/>
      <w:r/>
      <w:bookmarkStart w:id="12" w:name="_Toc243045035"/>
      <w:r>
        <w:rPr>
          <w:sz w:val="24"/>
          <w:szCs w:val="24"/>
        </w:rPr>
        <w:t xml:space="preserve">Правовой статус документов</w:t>
      </w:r>
      <w:bookmarkEnd w:id="10"/>
      <w:r/>
      <w:bookmarkEnd w:id="11"/>
      <w:r/>
      <w:bookmarkEnd w:id="12"/>
      <w:r/>
      <w:r>
        <w:rPr>
          <w:sz w:val="24"/>
          <w:szCs w:val="24"/>
        </w:rPr>
      </w:r>
    </w:p>
    <w:p>
      <w:pPr>
        <w:pStyle w:val="1495"/>
        <w:numPr>
          <w:ilvl w:val="2"/>
          <w:numId w:val="1"/>
        </w:numPr>
        <w:ind w:firstLine="567"/>
        <w:jc w:val="both"/>
      </w:pPr>
      <w:r/>
      <w:bookmarkStart w:id="13" w:name="_Ref119427085"/>
      <w:r/>
      <w:bookmarkStart w:id="14" w:name="_Ref11225299"/>
      <w:r>
        <w:t xml:space="preserve">Настоящая документация о закупке подготовлена в соответствии </w:t>
      </w:r>
      <w:bookmarkEnd w:id="13"/>
      <w:r>
        <w:t xml:space="preserve">с требованиями Федерального закона от 18.07.2011 № 223-ФЗ «О закупке товаров, работ, услуг отдельными видами юридических лиц» (далее – Закон 223-ФЗ), иными нормативными правовыми актами Российской Федерации, регулирующими закупочную деятельность отдельных </w:t>
      </w:r>
      <w:r>
        <w:t xml:space="preserve">видов юридических лиц (далее - законодательство о закупках отдельными видами юридических лиц) и положениями Единого стандарта закупок Публичного акционерного общества «Федеральная сетевая компания – Россети» (далее – Стандарт, Положение о закупке), утвержд</w:t>
      </w:r>
      <w:r>
        <w:t xml:space="preserve">енного решением Совета Директоров ПАО «Россети» (протокол от 30.12.2022 № 604).</w:t>
      </w:r>
      <w:r/>
    </w:p>
    <w:p>
      <w:pPr>
        <w:pStyle w:val="1495"/>
        <w:numPr>
          <w:ilvl w:val="2"/>
          <w:numId w:val="1"/>
        </w:numPr>
        <w:ind w:firstLine="567"/>
        <w:jc w:val="both"/>
      </w:pPr>
      <w:r>
        <w:t xml:space="preserve">Термины и определения, применяемые в настоящей документации о закупке и приложениях к ней, используются в значениях, установленных законодательством о закупках отдельными видам</w:t>
      </w:r>
      <w:r>
        <w:t xml:space="preserve">и юридических лиц, а также в соответствии с определениями, установленными в Приложении 1 «Глоссарий» к Стандарту, если настоящей документацией о закупке не установлено иное.</w:t>
      </w:r>
      <w:r/>
    </w:p>
    <w:p>
      <w:pPr>
        <w:pStyle w:val="1495"/>
        <w:numPr>
          <w:ilvl w:val="2"/>
          <w:numId w:val="1"/>
        </w:numPr>
        <w:ind w:firstLine="567"/>
        <w:jc w:val="both"/>
      </w:pPr>
      <w:r>
        <w:t xml:space="preserve">Извещение о закупке и настоящая документация о закупке, размещенные Заказчиком в Е</w:t>
      </w:r>
      <w:r>
        <w:t xml:space="preserve">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система, ЕИС), являются офертой Заказчика и должны рассматриваться участниками закупки в соответствии с э</w:t>
      </w:r>
      <w:r>
        <w:t xml:space="preserve">тим в течение срока, определенного для проведения закупки.</w:t>
      </w:r>
      <w:r/>
    </w:p>
    <w:p>
      <w:pPr>
        <w:pStyle w:val="1495"/>
        <w:numPr>
          <w:ilvl w:val="2"/>
          <w:numId w:val="1"/>
        </w:numPr>
        <w:ind w:firstLine="567"/>
        <w:jc w:val="both"/>
      </w:pPr>
      <w:r>
        <w:t xml:space="preserve">Заявка участника закупки, поданная участником в соответствии с установленными требованиями, имеет правовой статус оферты и будет рассматриваться Заказчиком в соответствии с этим.</w:t>
      </w:r>
      <w:r/>
    </w:p>
    <w:p>
      <w:pPr>
        <w:pStyle w:val="1495"/>
        <w:numPr>
          <w:ilvl w:val="2"/>
          <w:numId w:val="1"/>
        </w:numPr>
        <w:ind w:firstLine="567"/>
        <w:jc w:val="both"/>
      </w:pPr>
      <w:r>
        <w:t xml:space="preserve">Во всем, что не ур</w:t>
      </w:r>
      <w:r>
        <w:t xml:space="preserve">егулировано извещением о закупке и настоящей документацией о закупке, стороны руководствуются законодательством о закупках отдельными видами юридических лиц, Гражданским кодексом Российской Федерации, Положением о закупке Заказчика. Заказчик информирует уч</w:t>
      </w:r>
      <w:r>
        <w:t xml:space="preserve">астников закупки о том, что в ПАО «Россети» утвержден Кодекс поставщика ПАО «Россети» (далее – Кодекс), которым установлены базовые рекомендации для участников закупки в части корпоративной и социальной ответственности. Направление заявки на участие в заку</w:t>
      </w:r>
      <w:r>
        <w:t xml:space="preserve">почной процедуре означает, что участник ознакомлен с положениями Кодекса. Кодекс имеет рекомендательный характер для поставщиков ПАО «Россети» в части применения ими в своей деятельности изложенных в Кодексе принципов и подходов. Указанный документ размеще</w:t>
      </w:r>
      <w:r>
        <w:t xml:space="preserve">н в сети Интернет по адресу:  </w:t>
      </w:r>
      <w:hyperlink r:id="rId18" w:tooltip="https://www.rosseti.ru/sustainable-development/sustainable-development-documents/" w:history="1">
        <w:r>
          <w:rPr>
            <w:rStyle w:val="1402"/>
          </w:rPr>
          <w:t xml:space="preserve">https://www.rosseti.ru/sustainable-develo</w:t>
        </w:r>
        <w:r>
          <w:rPr>
            <w:rStyle w:val="1402"/>
          </w:rPr>
          <w:t xml:space="preserve">pment/sustainable-development-documents/</w:t>
        </w:r>
      </w:hyperlink>
      <w:r>
        <w:t xml:space="preserve">.</w:t>
      </w:r>
      <w:r/>
    </w:p>
    <w:p>
      <w:pPr>
        <w:pStyle w:val="1495"/>
        <w:numPr>
          <w:ilvl w:val="2"/>
          <w:numId w:val="1"/>
        </w:numPr>
        <w:ind w:firstLine="567"/>
        <w:jc w:val="both"/>
      </w:pPr>
      <w:r>
        <w:t xml:space="preserve">Если в отношении сторон договора, заключаемого по результатам закупки, действуют также иные специальные нормативные правовые акты, настоящая документация о закупке и заявка участника закупки, признанного победителе</w:t>
      </w:r>
      <w:r>
        <w:t xml:space="preserve">м будут считаться приоритетными по отношению к диспозитивным нормам указанных актов.</w:t>
      </w:r>
      <w:r/>
    </w:p>
    <w:p>
      <w:pPr>
        <w:pStyle w:val="1495"/>
        <w:ind w:left="567"/>
        <w:jc w:val="both"/>
      </w:pPr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5" w:name="_Toc123405453"/>
      <w:r/>
      <w:bookmarkStart w:id="16" w:name="_Toc126935820"/>
      <w:r/>
      <w:bookmarkStart w:id="17" w:name="_Toc132974735"/>
      <w:r/>
      <w:bookmarkStart w:id="18" w:name="_Toc243045036"/>
      <w:r>
        <w:rPr>
          <w:sz w:val="24"/>
          <w:szCs w:val="24"/>
        </w:rPr>
        <w:t xml:space="preserve">Заказчик, предмет и условия проведения закупки</w:t>
      </w:r>
      <w:bookmarkEnd w:id="15"/>
      <w:r>
        <w:rPr>
          <w:sz w:val="24"/>
          <w:szCs w:val="24"/>
        </w:rPr>
        <w:t xml:space="preserve">.</w:t>
      </w:r>
      <w:bookmarkEnd w:id="16"/>
      <w:r/>
      <w:bookmarkEnd w:id="17"/>
      <w:r/>
      <w:bookmarkEnd w:id="18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9" w:name="_Ref166267341"/>
      <w:r>
        <w:rPr>
          <w:rFonts w:ascii="Times New Roman" w:hAnsi="Times New Roman" w:cs="Times New Roman"/>
          <w:b w:val="0"/>
          <w:bCs w:val="0"/>
        </w:rPr>
        <w:t xml:space="preserve">Заказчик, указанный в пункте 1 части II «ИНФОРМАЦИОННАЯ КАРТА ЗАКУПКИ» настоящей документации о закупке соответственно (да</w:t>
      </w:r>
      <w:r>
        <w:rPr>
          <w:rFonts w:ascii="Times New Roman" w:hAnsi="Times New Roman" w:cs="Times New Roman"/>
          <w:b w:val="0"/>
          <w:bCs w:val="0"/>
        </w:rPr>
        <w:t xml:space="preserve">лее по тексту ссылки на разделы, подразделы, пункты и подпункты относятся исключительно к настоящей документации о закупке, если рядом с такой ссылкой не указано иного), проводит закупку, предмет и условия которой указаны в части II «ИНФОРМАЦИОННАЯ КАРТА З</w:t>
      </w:r>
      <w:r>
        <w:rPr>
          <w:rFonts w:ascii="Times New Roman" w:hAnsi="Times New Roman" w:cs="Times New Roman"/>
          <w:b w:val="0"/>
          <w:bCs w:val="0"/>
        </w:rPr>
        <w:t xml:space="preserve">АКУПКИ», в соответствии с процедурами, условиями и положениями настоящей документации о закупке.</w:t>
      </w:r>
      <w:bookmarkEnd w:id="19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документации о закупке не указано иного при проведении закупки Заказчик также является Организатором закупки, функции которого определены Стандартом.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вправе привлечь для организации и проведения закупки стороннего Организатора зак</w:t>
      </w:r>
      <w:r>
        <w:rPr>
          <w:rFonts w:ascii="Times New Roman" w:hAnsi="Times New Roman" w:cs="Times New Roman"/>
          <w:b w:val="0"/>
          <w:bCs w:val="0"/>
        </w:rPr>
        <w:t xml:space="preserve">упки, информация о котором (в случае принятия такого решения) должна быть указана в пункте 2 части II «ИНФОРМАЦИОННАЯ КАРТА ЗАКУПКИ».</w:t>
      </w:r>
      <w: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Распределение функций между Заказчиком и таким Организатором закупки определяется договором, подписанным между ними с учет</w:t>
      </w:r>
      <w:r>
        <w:rPr>
          <w:rFonts w:ascii="Times New Roman" w:hAnsi="Times New Roman" w:cs="Times New Roman"/>
          <w:b w:val="0"/>
          <w:bCs w:val="0"/>
        </w:rPr>
        <w:t xml:space="preserve">ом требований Стандарта.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20" w:name="_Toc123405455"/>
      <w:r/>
      <w:bookmarkStart w:id="21" w:name="_Toc76037638"/>
      <w:r/>
      <w:bookmarkStart w:id="22" w:name="_Toc76740426"/>
      <w:r/>
      <w:bookmarkStart w:id="23" w:name="_Toc77067195"/>
      <w:r/>
      <w:bookmarkStart w:id="24" w:name="_Toc126935821"/>
      <w:r/>
      <w:bookmarkStart w:id="25" w:name="_Toc132974736"/>
      <w:r/>
      <w:bookmarkStart w:id="26" w:name="_Toc243045037"/>
      <w:r>
        <w:rPr>
          <w:sz w:val="24"/>
          <w:szCs w:val="24"/>
        </w:rPr>
        <w:t xml:space="preserve">Начальная (максимальная) цена </w:t>
      </w:r>
      <w:bookmarkEnd w:id="20"/>
      <w:r>
        <w:rPr>
          <w:sz w:val="24"/>
          <w:szCs w:val="24"/>
        </w:rPr>
        <w:t xml:space="preserve">договора</w:t>
      </w:r>
      <w:bookmarkEnd w:id="21"/>
      <w:r/>
      <w:bookmarkEnd w:id="22"/>
      <w:r/>
      <w:bookmarkEnd w:id="23"/>
      <w:r/>
      <w:bookmarkEnd w:id="24"/>
      <w:r/>
      <w:bookmarkEnd w:id="25"/>
      <w:r/>
      <w:bookmarkEnd w:id="26"/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spacing w:before="0" w:after="0"/>
        <w:rPr>
          <w:rFonts w:ascii="Times New Roman" w:hAnsi="Times New Roman" w:cs="Times New Roman"/>
          <w:b w:val="0"/>
        </w:rPr>
      </w:pPr>
      <w:r/>
      <w:bookmarkStart w:id="27" w:name="_Ref166311292"/>
      <w:r>
        <w:rPr>
          <w:rFonts w:ascii="Times New Roman" w:hAnsi="Times New Roman" w:cs="Times New Roman"/>
          <w:b w:val="0"/>
          <w:bCs w:val="0"/>
        </w:rPr>
        <w:t xml:space="preserve">Начальная (максимальная) цена договора указана в извещении о закупке и пункте 5 части II «ИНФОРМАЦИОННАЯ КАРТА ЗАКУПКИ». </w:t>
      </w:r>
      <w:bookmarkEnd w:id="27"/>
      <w:r>
        <w:rPr>
          <w:rFonts w:ascii="Times New Roman" w:hAnsi="Times New Roman" w:cs="Times New Roman"/>
          <w:b w:val="0"/>
          <w:bCs w:val="0"/>
        </w:rPr>
        <w:t xml:space="preserve">Начальная (максимальная) цена договора может быть указана Заказчиком </w:t>
      </w:r>
      <w:r>
        <w:rPr>
          <w:rFonts w:ascii="Times New Roman" w:hAnsi="Times New Roman" w:cs="Times New Roman"/>
          <w:b w:val="0"/>
          <w:bCs w:val="0"/>
        </w:rPr>
        <w:t xml:space="preserve">в виде </w:t>
      </w:r>
      <w:r>
        <w:rPr>
          <w:rFonts w:ascii="Times New Roman" w:hAnsi="Times New Roman" w:cs="Times New Roman"/>
          <w:b w:val="0"/>
        </w:rPr>
        <w:t xml:space="preserve">сведений о начальной (максимальной) цене договора, либо формулы цены, и максимального значения цены договора, либо цены единицы товара, работы, услуги и максимального значения цены договора. В случае если по результатам закупки в соответствии с усло</w:t>
      </w:r>
      <w:r>
        <w:rPr>
          <w:rFonts w:ascii="Times New Roman" w:hAnsi="Times New Roman" w:cs="Times New Roman"/>
          <w:b w:val="0"/>
        </w:rPr>
        <w:t xml:space="preserve">виями документации о закупке может быть заключено несколько договоров, в том числе с несколькими заказчиками, начальная максимальная цена договора может включать в себя указание начальных максимальных цен отдельных договоров.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Обоснование начально</w:t>
      </w:r>
      <w:r>
        <w:rPr>
          <w:rFonts w:ascii="Times New Roman" w:hAnsi="Times New Roman" w:cs="Times New Roman"/>
          <w:b w:val="0"/>
          <w:bCs w:val="0"/>
        </w:rPr>
        <w:t xml:space="preserve">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 указано в пункте 5.1. части II «ИНФОРМАЦИОННАЯ КАРТА ЗАКУПКИ»</w:t>
      </w:r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28" w:name="_Toc123405457"/>
      <w:r/>
      <w:bookmarkStart w:id="29" w:name="_Toc126935822"/>
      <w:r/>
      <w:bookmarkStart w:id="30" w:name="_Toc132974737"/>
      <w:r/>
      <w:bookmarkStart w:id="31" w:name="_Toc243045038"/>
      <w:r>
        <w:rPr>
          <w:sz w:val="24"/>
          <w:szCs w:val="24"/>
        </w:rPr>
        <w:t xml:space="preserve">Требования к </w:t>
      </w:r>
      <w:bookmarkEnd w:id="28"/>
      <w:r>
        <w:rPr>
          <w:sz w:val="24"/>
          <w:szCs w:val="24"/>
        </w:rPr>
        <w:t xml:space="preserve">участникам закупки</w:t>
      </w:r>
      <w:bookmarkEnd w:id="29"/>
      <w:r/>
      <w:bookmarkEnd w:id="30"/>
      <w:r/>
      <w:bookmarkEnd w:id="31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Участником закупки может быть: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0"/>
          <w:numId w:val="44"/>
        </w:numPr>
        <w:ind w:left="0" w:firstLine="567"/>
        <w:keepNext w:val="0"/>
        <w:spacing w:before="0" w:after="0"/>
        <w:tabs>
          <w:tab w:val="left" w:pos="1418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</w:t>
      </w:r>
      <w:r>
        <w:rPr>
          <w:rFonts w:ascii="Times New Roman" w:hAnsi="Times New Roman" w:cs="Times New Roman"/>
          <w:b w:val="0"/>
          <w:bCs w:val="0"/>
        </w:rPr>
        <w:t xml:space="preserve">ста происхождения капитала, за исключением юридического лица, являющегося иностранным агентом в соответствии с </w:t>
      </w:r>
      <w:hyperlink r:id="rId19" w:tooltip="https://internet.garant.ru/#/document/404991865/entry/1" w:anchor="/document/404991865/entry/1" w:history="1">
        <w:r>
          <w:rPr>
            <w:rFonts w:ascii="Times New Roman" w:hAnsi="Times New Roman" w:cs="Times New Roman"/>
            <w:b w:val="0"/>
            <w:bCs w:val="0"/>
          </w:rPr>
          <w:t xml:space="preserve">Федерал</w:t>
        </w:r>
        <w:r>
          <w:rPr>
            <w:rFonts w:ascii="Times New Roman" w:hAnsi="Times New Roman" w:cs="Times New Roman"/>
            <w:b w:val="0"/>
            <w:bCs w:val="0"/>
          </w:rPr>
          <w:t xml:space="preserve">ьным законом</w:t>
        </w:r>
      </w:hyperlink>
      <w:r>
        <w:rPr>
          <w:rFonts w:ascii="Times New Roman" w:hAnsi="Times New Roman" w:cs="Times New Roman"/>
          <w:b w:val="0"/>
          <w:bCs w:val="0"/>
        </w:rPr>
        <w:t xml:space="preserve"> от 14 июля 2022 года N 255-ФЗ "О контроле за деятельностью лиц, находящихся под иностранным влиянием", и/или находящегося под санкциями и включенного в перечень </w:t>
      </w:r>
      <w:r>
        <w:rPr>
          <w:rFonts w:ascii="Times New Roman" w:hAnsi="Times New Roman" w:cs="Times New Roman"/>
          <w:b w:val="0"/>
        </w:rPr>
        <w:t xml:space="preserve">юридических лиц, в отношении которых применяются специальные экономические меры, у</w:t>
      </w:r>
      <w:r>
        <w:rPr>
          <w:rFonts w:ascii="Times New Roman" w:hAnsi="Times New Roman" w:cs="Times New Roman"/>
          <w:b w:val="0"/>
        </w:rPr>
        <w:t xml:space="preserve">твержденный Постановлением Правительства Российской Федерации от 11 мая 2022 г. N 851 «О мерах по реализации Указа Президента Российской Федерации от 3 мая 2022 г. N 252».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0"/>
          <w:numId w:val="44"/>
        </w:numPr>
        <w:ind w:left="0" w:firstLine="567"/>
        <w:keepNext w:val="0"/>
        <w:spacing w:before="0" w:after="0"/>
        <w:tabs>
          <w:tab w:val="left" w:pos="1418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либо любое физическое лицо или несколько физических лиц, выступающих на стороне одн</w:t>
      </w:r>
      <w:r>
        <w:rPr>
          <w:rFonts w:ascii="Times New Roman" w:hAnsi="Times New Roman" w:cs="Times New Roman"/>
          <w:b w:val="0"/>
          <w:bCs w:val="0"/>
        </w:rPr>
        <w:t xml:space="preserve">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</w:t>
      </w:r>
      <w:r>
        <w:rPr>
          <w:rFonts w:ascii="Times New Roman" w:hAnsi="Times New Roman" w:cs="Times New Roman"/>
          <w:b w:val="0"/>
          <w:bCs w:val="0"/>
        </w:rPr>
        <w:t xml:space="preserve">законом от 14 июля 2022 года N 255-ФЗ "О контроле за деятельностью лиц, находящихся под иностранным влиянием", и/или находящегося под санкциями в соответствии с Указом Президента Российской Федерации от 03.05.2022 N 252 «О применении ответных специальных э</w:t>
      </w:r>
      <w:r>
        <w:rPr>
          <w:rFonts w:ascii="Times New Roman" w:hAnsi="Times New Roman" w:cs="Times New Roman"/>
          <w:b w:val="0"/>
          <w:bCs w:val="0"/>
        </w:rPr>
        <w:t xml:space="preserve">кономических мер в связи с недружественными действиями некоторых иностранных государств и международных организаций»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Участники закупки имеют право выступать в отношениях, связанных с осуществлением закупок, как непосредственно, так и через своих представит</w:t>
      </w:r>
      <w:r>
        <w:rPr>
          <w:rFonts w:ascii="Times New Roman" w:hAnsi="Times New Roman" w:cs="Times New Roman"/>
          <w:b w:val="0"/>
          <w:bCs w:val="0"/>
        </w:rPr>
        <w:t xml:space="preserve">елей. Полномочия представителей участников закупки подтверждаются доверенностью, выданной и оформленной в соответствии с требованиями действующего законодательства, в том числе предъявляемым к машиночитаемым доверенностям.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32" w:name="_Ref166312025"/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для того, чтобы </w:t>
      </w:r>
      <w:r>
        <w:rPr>
          <w:rFonts w:ascii="Times New Roman" w:hAnsi="Times New Roman" w:cs="Times New Roman"/>
          <w:b w:val="0"/>
          <w:bCs w:val="0"/>
        </w:rPr>
        <w:t xml:space="preserve">принять участие в закупке, должен удовлетворять требованиям, установленным в пункте 9 части II «ИНФОРМАЦИОННАЯ КАРТА ЗАКУПКИ».</w:t>
      </w:r>
      <w:bookmarkEnd w:id="32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Участник закупки должен соответствовать требованию об отсутствии сведений о нем в реестре недобросовестных поставщиков, предусмот</w:t>
      </w:r>
      <w:r>
        <w:rPr>
          <w:rFonts w:ascii="Times New Roman" w:hAnsi="Times New Roman" w:cs="Times New Roman"/>
          <w:b w:val="0"/>
        </w:rPr>
        <w:t xml:space="preserve">ренном Законом 223-ФЗ, и (или) в реестре недобросовестных поставщиков, предусмотренном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нужд», есл</w:t>
      </w:r>
      <w:r>
        <w:rPr>
          <w:rFonts w:ascii="Times New Roman" w:hAnsi="Times New Roman" w:cs="Times New Roman"/>
          <w:b w:val="0"/>
        </w:rPr>
        <w:t xml:space="preserve">и такое требование установлено Заказчиком, в пункте 11 части II «ИНФОРМАЦИОННАЯ КАРТА ЗАКУПКИ».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участия в закупке коллективного участника (группы лиц) каждое юридическое лицо (каждый индивидуальный предприниматель), входящее в состав коллективного</w:t>
      </w:r>
      <w:r>
        <w:rPr>
          <w:rFonts w:ascii="Times New Roman" w:hAnsi="Times New Roman" w:cs="Times New Roman"/>
          <w:b w:val="0"/>
        </w:rPr>
        <w:t xml:space="preserve"> участника, должно отвечать требованиям настоящей документации о закупке в части требований, не подлежащих суммированию (наличию гражданской правоспособности в полном объеме, не нахождения в процессе ликвидации, отсутствия в реестре недобросовестных постав</w:t>
      </w:r>
      <w:r>
        <w:rPr>
          <w:rFonts w:ascii="Times New Roman" w:hAnsi="Times New Roman" w:cs="Times New Roman"/>
          <w:b w:val="0"/>
        </w:rPr>
        <w:t xml:space="preserve">щиков и т.п.). Изменение состава коллективного участника после окончания приема заявок является основанием для принятия закупочной комиссией решения об отклонении заявки. При установлении требований по количественным параметрам деятельности коллективного у</w:t>
      </w:r>
      <w:r>
        <w:rPr>
          <w:rFonts w:ascii="Times New Roman" w:hAnsi="Times New Roman" w:cs="Times New Roman"/>
          <w:b w:val="0"/>
        </w:rPr>
        <w:t xml:space="preserve">частника (группы лиц), количественные параметры членов объединения суммируются. Требования по наличию специальной правоспособности (например, наличие лицензий и иных специальных разрешительных документов) установлены в документации о закупке (п. 9 части II</w:t>
      </w:r>
      <w:r>
        <w:rPr>
          <w:rFonts w:ascii="Times New Roman" w:hAnsi="Times New Roman" w:cs="Times New Roman"/>
          <w:b w:val="0"/>
        </w:rPr>
        <w:t xml:space="preserve"> «ИНФОРМАЦИОННАЯ КАРТА ЗАКУПКИ»). Если иное не предусмотрено законодательством Российской Федерации, такие требования будут оцениваться в соответствии с распределением поставок, работ, услуг между членами коллективного участника.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tabs>
          <w:tab w:val="clear" w:pos="170" w:leader="none"/>
          <w:tab w:val="num" w:pos="454" w:leader="none"/>
        </w:tabs>
        <w:rPr>
          <w:rFonts w:ascii="Times New Roman" w:hAnsi="Times New Roman" w:cs="Times New Roman"/>
          <w:b w:val="0"/>
        </w:rPr>
      </w:pPr>
      <w:r/>
      <w:bookmarkStart w:id="33" w:name="_Ref535962934"/>
      <w:r>
        <w:rPr>
          <w:rFonts w:ascii="Times New Roman" w:hAnsi="Times New Roman" w:cs="Times New Roman"/>
          <w:b w:val="0"/>
        </w:rPr>
        <w:t xml:space="preserve">Любое юридическое лицо или</w:t>
      </w:r>
      <w:r>
        <w:rPr>
          <w:rFonts w:ascii="Times New Roman" w:hAnsi="Times New Roman" w:cs="Times New Roman"/>
          <w:b w:val="0"/>
        </w:rPr>
        <w:t xml:space="preserve"> индивидуальный предприниматель может участвовать только в одном объединении и не имеет права принимать участие в данной закупке самостоятельно. В случае невыполнения этих требований заявки с участием таких лиц будут отклонены без рассмотрения по существу.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 Заказчик вправе в документаци</w:t>
      </w:r>
      <w:r>
        <w:rPr>
          <w:rFonts w:ascii="Times New Roman" w:hAnsi="Times New Roman" w:cs="Times New Roman"/>
          <w:b w:val="0"/>
        </w:rPr>
        <w:t xml:space="preserve">и о закупке установить требования к привлекаемым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</w:t>
      </w:r>
      <w:r>
        <w:rPr>
          <w:rFonts w:ascii="Times New Roman" w:hAnsi="Times New Roman" w:cs="Times New Roman"/>
          <w:b w:val="0"/>
        </w:rPr>
        <w:t xml:space="preserve">ниям. Информация об установлении таких требований указывается в пункте 13 части II «ИНФОРМАЦИОННАЯ КАРТА ЗАКУПКИ»</w:t>
      </w:r>
      <w:bookmarkEnd w:id="33"/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tabs>
          <w:tab w:val="left" w:pos="1276" w:leader="none"/>
        </w:tabs>
        <w:rPr>
          <w:sz w:val="24"/>
          <w:szCs w:val="24"/>
        </w:rPr>
      </w:pPr>
      <w:r/>
      <w:bookmarkStart w:id="34" w:name="_Toc123405458"/>
      <w:r/>
      <w:bookmarkStart w:id="35" w:name="_Toc126935823"/>
      <w:r/>
      <w:bookmarkStart w:id="36" w:name="_Toc132974738"/>
      <w:r/>
      <w:bookmarkStart w:id="37" w:name="_Toc243045039"/>
      <w:r>
        <w:rPr>
          <w:sz w:val="24"/>
          <w:szCs w:val="24"/>
        </w:rPr>
        <w:t xml:space="preserve">Привлечение соисполнителей (субподрядчиков) к исполнению договора</w:t>
      </w:r>
      <w:bookmarkEnd w:id="34"/>
      <w:r/>
      <w:bookmarkEnd w:id="35"/>
      <w:r/>
      <w:bookmarkEnd w:id="36"/>
      <w:r/>
      <w:bookmarkEnd w:id="37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вправе привлечь к исполнению договора соисполнителей (субподрядчиков) в случае, если это допускается положениями Гражданского кодекса Российской Федерации для соответствующего предмету договора виду гражданско-правового договора</w:t>
      </w:r>
      <w:bookmarkStart w:id="38" w:name="_Ref354131841"/>
      <w:r/>
      <w:bookmarkStart w:id="39" w:name="_Ref11495519"/>
      <w:r>
        <w:rPr>
          <w:rFonts w:ascii="Times New Roman" w:hAnsi="Times New Roman" w:cs="Times New Roman"/>
          <w:b w:val="0"/>
          <w:bCs w:val="0"/>
        </w:rPr>
        <w:t xml:space="preserve">. </w:t>
      </w:r>
      <w:bookmarkStart w:id="40" w:name="_Ref354131847"/>
      <w:r/>
      <w:bookmarkEnd w:id="38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В случае</w:t>
      </w:r>
      <w:r>
        <w:rPr>
          <w:rFonts w:ascii="Times New Roman" w:hAnsi="Times New Roman" w:cs="Times New Roman"/>
          <w:b w:val="0"/>
        </w:rPr>
        <w:t xml:space="preserve">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 участник должен подтвердить соответств</w:t>
      </w:r>
      <w:r>
        <w:rPr>
          <w:rFonts w:ascii="Times New Roman" w:hAnsi="Times New Roman" w:cs="Times New Roman"/>
          <w:b w:val="0"/>
        </w:rPr>
        <w:t xml:space="preserve">ие к</w:t>
      </w:r>
      <w:r>
        <w:rPr>
          <w:rFonts w:ascii="Times New Roman" w:hAnsi="Times New Roman" w:cs="Times New Roman"/>
          <w:b w:val="0"/>
          <w:bCs w:val="0"/>
        </w:rPr>
        <w:t xml:space="preserve">аждого привлекаемого субподрядчика, </w:t>
      </w:r>
      <w:r>
        <w:rPr>
          <w:rFonts w:ascii="Times New Roman" w:hAnsi="Times New Roman" w:cs="Times New Roman"/>
          <w:b w:val="0"/>
        </w:rPr>
        <w:t xml:space="preserve">соисполнителя и (или) изготовителя товара</w:t>
      </w:r>
      <w:r>
        <w:rPr>
          <w:rFonts w:ascii="Times New Roman" w:hAnsi="Times New Roman" w:cs="Times New Roman"/>
          <w:b w:val="0"/>
          <w:bCs w:val="0"/>
        </w:rPr>
        <w:t xml:space="preserve"> требованиям, установленным в пункте 13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rPr>
          <w:i/>
        </w:rPr>
      </w:pPr>
      <w:r>
        <w:rPr>
          <w:i/>
        </w:rPr>
      </w:r>
      <w:r>
        <w:rPr>
          <w:i/>
        </w:rPr>
      </w:r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1" w:name="_Toc123405459"/>
      <w:r/>
      <w:bookmarkStart w:id="42" w:name="_Toc126935824"/>
      <w:r/>
      <w:bookmarkStart w:id="43" w:name="_Toc132974739"/>
      <w:r/>
      <w:bookmarkStart w:id="44" w:name="_Toc243045040"/>
      <w:r/>
      <w:bookmarkEnd w:id="40"/>
      <w:r>
        <w:rPr>
          <w:sz w:val="24"/>
          <w:szCs w:val="24"/>
        </w:rPr>
        <w:t xml:space="preserve">Расходы на участие в </w:t>
      </w:r>
      <w:bookmarkEnd w:id="41"/>
      <w:r>
        <w:rPr>
          <w:sz w:val="24"/>
          <w:szCs w:val="24"/>
        </w:rPr>
        <w:t xml:space="preserve">закупке и при заключении договора</w:t>
      </w:r>
      <w:bookmarkEnd w:id="42"/>
      <w:r/>
      <w:bookmarkEnd w:id="43"/>
      <w:r/>
      <w:bookmarkEnd w:id="44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несет все расходы, св</w:t>
      </w:r>
      <w:r>
        <w:rPr>
          <w:rFonts w:ascii="Times New Roman" w:hAnsi="Times New Roman" w:cs="Times New Roman"/>
          <w:b w:val="0"/>
          <w:bCs w:val="0"/>
        </w:rPr>
        <w:t xml:space="preserve">язанные с подготовкой и подачей заявки на участие в закупке, участием в закупке и заключением </w:t>
      </w:r>
      <w:bookmarkEnd w:id="39"/>
      <w:r>
        <w:rPr>
          <w:rFonts w:ascii="Times New Roman" w:hAnsi="Times New Roman" w:cs="Times New Roman"/>
          <w:b w:val="0"/>
          <w:bCs w:val="0"/>
        </w:rPr>
        <w:t xml:space="preserve">договора, а Заказчик не имеет обязательств в связи с такими расходами, за исключением случаев, прямо предусмотренных законодательством Российской Федерации.</w:t>
      </w:r>
      <w:bookmarkStart w:id="45" w:name="_Toc123405460"/>
      <w:r/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46" w:name="_Toc126935825"/>
      <w:r/>
      <w:bookmarkStart w:id="47" w:name="_Toc132974740"/>
      <w:r/>
      <w:bookmarkStart w:id="48" w:name="_Toc243045041"/>
      <w:r/>
      <w:bookmarkEnd w:id="45"/>
      <w:r>
        <w:rPr>
          <w:sz w:val="24"/>
          <w:szCs w:val="24"/>
        </w:rPr>
        <w:t xml:space="preserve">Усло</w:t>
      </w:r>
      <w:r>
        <w:rPr>
          <w:sz w:val="24"/>
          <w:szCs w:val="24"/>
        </w:rPr>
        <w:t xml:space="preserve">вия предоставления национального режима закупок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</w:t>
      </w:r>
      <w:r>
        <w:rPr>
          <w:sz w:val="24"/>
          <w:szCs w:val="24"/>
        </w:rPr>
        <w:t xml:space="preserve">ранными лицами при проведении закупки.</w:t>
      </w:r>
      <w:bookmarkEnd w:id="46"/>
      <w:r/>
      <w:bookmarkEnd w:id="47"/>
      <w:r/>
      <w:bookmarkEnd w:id="48"/>
      <w:r/>
      <w:r>
        <w:rPr>
          <w:sz w:val="24"/>
          <w:szCs w:val="24"/>
        </w:rPr>
      </w:r>
    </w:p>
    <w:p>
      <w:pPr>
        <w:pStyle w:val="1495"/>
        <w:numPr>
          <w:ilvl w:val="2"/>
          <w:numId w:val="9"/>
        </w:numPr>
        <w:ind w:firstLine="567"/>
        <w:jc w:val="both"/>
        <w:widowControl w:val="off"/>
      </w:pPr>
      <w:r/>
      <w:bookmarkStart w:id="49" w:name="_Toc192839726"/>
      <w:r>
        <w:t xml:space="preserve">Порядок предоставления национального режима закупок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</w:t>
      </w:r>
      <w:r>
        <w:t xml:space="preserve">ам, услугам, выполняемым, оказываемым иностранными лицами (далее – национальный режим) устанавливается в соответствии с законодательством Российской Федерации в сфере закупок в случае если Заказчиком в пункте 23 части II «ИНФОРМАЦИОННАЯ КАРТА ЗАКУПКИ» пред</w:t>
      </w:r>
      <w:r>
        <w:t xml:space="preserve">усмотрена такая возможность.</w:t>
      </w:r>
      <w:bookmarkEnd w:id="49"/>
      <w:r/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0" w:name="_Toc192839727"/>
      <w:r>
        <w:t xml:space="preserve">При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</w:t>
      </w:r>
      <w:r>
        <w:t xml:space="preserve">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</w:t>
      </w:r>
      <w:r>
        <w:t xml:space="preserve">м юридическим лицом (далее - российское лицо), за исключением случаев принятия Правительством Российской Федерации мер, устанавливающих:</w:t>
      </w:r>
      <w:bookmarkEnd w:id="50"/>
      <w:r>
        <w:t xml:space="preserve">  </w:t>
      </w:r>
      <w:r/>
    </w:p>
    <w:p>
      <w:pPr>
        <w:numPr>
          <w:ilvl w:val="0"/>
          <w:numId w:val="47"/>
        </w:numPr>
        <w:ind w:left="0" w:firstLine="567"/>
        <w:spacing w:after="0"/>
        <w:widowControl w:val="off"/>
        <w:tabs>
          <w:tab w:val="num" w:pos="142" w:leader="none"/>
        </w:tabs>
      </w:pPr>
      <w:r>
        <w:t xml:space="preserve">запрет закупок товаров (в том числе поставляемых при выполнении закупаемых работ, оказании закупаемых услуг), происхо</w:t>
      </w:r>
      <w:r>
        <w:t xml:space="preserve">дящих из иностранных государств, работ, услуг, соответственно выполняемых, оказываемых иностранными лицами;</w:t>
      </w:r>
      <w:r/>
    </w:p>
    <w:p>
      <w:pPr>
        <w:numPr>
          <w:ilvl w:val="0"/>
          <w:numId w:val="47"/>
        </w:numPr>
        <w:ind w:left="0" w:firstLine="567"/>
        <w:spacing w:after="0"/>
        <w:widowControl w:val="off"/>
        <w:tabs>
          <w:tab w:val="num" w:pos="142" w:leader="none"/>
        </w:tabs>
      </w:pPr>
      <w:r>
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</w:t>
      </w:r>
      <w:r>
        <w:t xml:space="preserve">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</w:r>
      <w:r/>
    </w:p>
    <w:p>
      <w:pPr>
        <w:numPr>
          <w:ilvl w:val="0"/>
          <w:numId w:val="47"/>
        </w:numPr>
        <w:ind w:left="0" w:firstLine="567"/>
        <w:spacing w:after="0"/>
        <w:widowControl w:val="off"/>
        <w:tabs>
          <w:tab w:val="num" w:pos="142" w:leader="none"/>
        </w:tabs>
      </w:pPr>
      <w:r>
        <w:t xml:space="preserve">преимущество в отношении товаров российского происхождения (в том числе поставляемых при </w:t>
      </w:r>
      <w:r>
        <w:t xml:space="preserve">выполнении закупаемых работ, оказании закупаемых услуг), работ, услуг, соответственно выполняемых, оказываемых российскими лицами;</w:t>
      </w:r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1" w:name="_Toc192839728"/>
      <w:r>
        <w:t xml:space="preserve">Если иное не предусмотрено мерами, принятыми Правительством Российской Федерации, положения п. 1.7.2 настоящей документации, </w:t>
      </w:r>
      <w:r>
        <w:t xml:space="preserve">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</w:t>
      </w:r>
      <w:r>
        <w:t xml:space="preserve">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</w:t>
      </w:r>
      <w:bookmarkEnd w:id="51"/>
      <w:r/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2" w:name="_Toc192839729"/>
      <w:r>
        <w:t xml:space="preserve">Если Правительством Российской Федерации установлен предусмотренный п. 1.7.2 а) насто</w:t>
      </w:r>
      <w:r>
        <w:t xml:space="preserve">ящей документации запрет закупок товара, не допускаются:</w:t>
      </w:r>
      <w:bookmarkEnd w:id="52"/>
      <w:r/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а) заключение договора на поставку такого товара; 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б) при исполнении договора замена такого товара на происходящий из иностранного государства товар, в отношении которого установлен данный запрет.</w:t>
      </w:r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3" w:name="_Toc192839730"/>
      <w:r>
        <w:t xml:space="preserve">Если Правительством Российской Федерации установлено предусмотренное п. 1.7.2 б) настоящей документации ограни</w:t>
      </w:r>
      <w:r>
        <w:t xml:space="preserve">чение закупок товара, не допускаются:</w:t>
      </w:r>
      <w:bookmarkEnd w:id="53"/>
      <w:r>
        <w:t xml:space="preserve"> 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</w:t>
      </w:r>
      <w:r>
        <w:t xml:space="preserve">признанные по результатам их рассмотрения соответствующими треб</w:t>
      </w:r>
      <w:r>
        <w:t xml:space="preserve">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</w:t>
      </w:r>
      <w:r>
        <w:t xml:space="preserve">роисхождения; 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</w:r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4" w:name="_Toc192839731"/>
      <w:r>
        <w:t xml:space="preserve">Если Правительством Российской Федераци</w:t>
      </w:r>
      <w:r>
        <w:t xml:space="preserve">и установлено предусмотренное п. 1.7.2 в) настоящей документации преимущество в отношении товара российского происхождения:</w:t>
      </w:r>
      <w:bookmarkEnd w:id="54"/>
      <w:r>
        <w:t xml:space="preserve"> 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а) при рассмотрении, оценке, сопоставлении заявок на участие в закупке, окончательных предложений осуществляется снижение на 15 (пя</w:t>
      </w:r>
      <w:r>
        <w:t xml:space="preserve">тнадцать) % (процентов) ценового предложения, поданного в соответствии с Законом 223-ФЗ и Стандартом участником закупки, предлагающим к поставке товар только российского происхождения, либо увеличение на 15 (пятнадцать) % (процентов) ценового</w:t>
      </w:r>
      <w:r>
        <w:rPr>
          <w:b/>
          <w:bCs/>
          <w:vertAlign w:val="superscript"/>
        </w:rPr>
        <w:footnoteReference w:id="2"/>
      </w:r>
      <w:r>
        <w:t xml:space="preserve"> предложения</w:t>
      </w:r>
      <w:r>
        <w:t xml:space="preserve"> этого участника закупки в случае подачи им предложения о размере платы, подлежащей внесению за заключение договора; 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б) в случае заключения договора с участником закупки, указанным в пп. а) настоящего пункта, договор заключается без учета снижения либо ув</w:t>
      </w:r>
      <w:r>
        <w:t xml:space="preserve">еличения ценового предложения, осуществленных в соответствии с пп. а) настоящего пункта; 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</w:t>
      </w:r>
      <w:r>
        <w:t xml:space="preserve">ождения.</w:t>
      </w:r>
      <w:r/>
    </w:p>
    <w:p>
      <w:pPr>
        <w:numPr>
          <w:ilvl w:val="2"/>
          <w:numId w:val="9"/>
        </w:numPr>
        <w:ind w:firstLine="567"/>
        <w:spacing w:after="0"/>
        <w:widowControl w:val="off"/>
      </w:pPr>
      <w:r>
        <w:t xml:space="preserve"> </w:t>
      </w:r>
      <w:bookmarkStart w:id="55" w:name="_Toc192839732"/>
      <w:r>
        <w:t xml:space="preserve">Если Правительством Российской Федерации установлен предусмотренный п. 1.7.2 а) настоящей документации запрет закупки работ, услуг, соответственно выполняемых, оказываемых иностранным лицом, не допускаются:</w:t>
      </w:r>
      <w:bookmarkEnd w:id="55"/>
      <w:r/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а) заключение договора на выполнение та</w:t>
      </w:r>
      <w:r>
        <w:t xml:space="preserve">кой работы, оказание такой услуги с подрядчиком (исполнителем), являющимся иностранным лицом;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б) перемена подрядчика (исполнителя) (в случае, если эта перемена допускается гражданским законодательством), с которым заключен указанный договор, на иностранное</w:t>
      </w:r>
      <w:r>
        <w:t xml:space="preserve"> лицо, которое зарегистрировано на территории иностранного государства, в отношении которого установлен данный запрет.</w:t>
      </w:r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6" w:name="_Toc192839733"/>
      <w:r>
        <w:t xml:space="preserve">Если Правительством Российской Федерации установлено предусмотренное подпунктом п. 1.7.2 б) настоящей документации ограничение закупки ра</w:t>
      </w:r>
      <w:r>
        <w:t xml:space="preserve">бот, услуг, соответственно выполняемых, оказываемых иностранным лицом, не допускаются:</w:t>
      </w:r>
      <w:bookmarkEnd w:id="56"/>
      <w:r/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а) заключение договора с участником закупки, являющимся иностранным лицом, если российским лицом поданы заявка на участие в закупке, окончательное предложение, признанны</w:t>
      </w:r>
      <w:r>
        <w:t xml:space="preserve">е по результатам их рассмотрения соответствующими требованиям Стандарта,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закупки);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б) перемена</w:t>
      </w:r>
      <w:r>
        <w:t xml:space="preserve">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</w:t>
      </w:r>
      <w:r>
        <w:t xml:space="preserve">аничение, если договор заключен с российским лицом.</w:t>
      </w:r>
      <w:r/>
    </w:p>
    <w:p>
      <w:pPr>
        <w:numPr>
          <w:ilvl w:val="2"/>
          <w:numId w:val="9"/>
        </w:numPr>
        <w:ind w:firstLine="567"/>
        <w:spacing w:after="0"/>
        <w:widowControl w:val="off"/>
      </w:pPr>
      <w:r/>
      <w:bookmarkStart w:id="57" w:name="_Toc192839734"/>
      <w:r>
        <w:t xml:space="preserve">Если Правительством Российской Федерации установлено предусмотренное 1.7.2 в) настоящей документации преимущество в отношении работ, услуг, соответственно выполняемых, оказываемых российским лицом:</w:t>
      </w:r>
      <w:bookmarkEnd w:id="57"/>
      <w:r/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а) при</w:t>
      </w:r>
      <w:r>
        <w:t xml:space="preserve"> рассмотрении,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15 (пятнадцать) % (процентов) ценового предложения, поданного участником закупки</w:t>
      </w:r>
      <w:r>
        <w:t xml:space="preserve">, являющимся российским лицом, либо увеличение на 15 (пятнадцать) % (процентов) ценового предложения этого участника закупки в случае подачи им предложения о размере платы, подлежащей внесению за заключение с ним договора;</w:t>
      </w:r>
      <w:r/>
    </w:p>
    <w:p>
      <w:pPr>
        <w:ind w:firstLine="567"/>
        <w:spacing w:after="0"/>
        <w:widowControl w:val="off"/>
        <w:tabs>
          <w:tab w:val="num" w:pos="142" w:leader="none"/>
          <w:tab w:val="num" w:pos="312" w:leader="none"/>
        </w:tabs>
      </w:pPr>
      <w:r>
        <w:t xml:space="preserve">б) в случае заключения договора с</w:t>
      </w:r>
      <w:r>
        <w:t xml:space="preserve"> участником закупки, указанным в пп а) настоящего пункта, договор заключается без учета снижения либо увеличения ценового предложения, осуществленных в соответствии с пп. а) настоящего пункта;</w:t>
      </w:r>
      <w:r/>
    </w:p>
    <w:p>
      <w:pPr>
        <w:ind w:firstLine="567"/>
        <w:spacing w:after="0"/>
        <w:widowControl w:val="off"/>
        <w:tabs>
          <w:tab w:val="left" w:pos="708" w:leader="none"/>
        </w:tabs>
      </w:pPr>
      <w:r>
        <w:t xml:space="preserve">в) перемена подрядчика (исполнителя) (в случае, если эта переме</w:t>
      </w:r>
      <w:r>
        <w:t xml:space="preserve">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  <w:r/>
    </w:p>
    <w:p>
      <w:pPr>
        <w:ind w:firstLine="709"/>
        <w:spacing w:after="0"/>
        <w:widowControl w:val="off"/>
        <w:tabs>
          <w:tab w:val="center" w:pos="5457" w:leader="none"/>
        </w:tabs>
        <w:rPr>
          <w:highlight w:val="white"/>
        </w:rPr>
      </w:pPr>
      <w:r>
        <w:t xml:space="preserve">1.7.10. </w:t>
      </w:r>
      <w:r>
        <w:rPr>
          <w:highlight w:val="white"/>
        </w:rPr>
        <w:t xml:space="preserve">В случае, если в «Технической части», включены товары, указанные в перечне Приложении</w:t>
      </w:r>
      <w:r>
        <w:rPr>
          <w:highlight w:val="white"/>
        </w:rPr>
        <w:t xml:space="preserve"> № 1 и Приложении № 2 к постановлению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</w:t>
      </w:r>
      <w:r>
        <w:rPr>
          <w:highlight w:val="white"/>
        </w:rPr>
        <w:t xml:space="preserve">отдельными видами юридических лиц, об изменении и признании утратившими силу некоторых актов Правительства Российской Федерации» (далее – перечень № 1 и перечень № 2 соответственно), товары, указанные в перечне № 2, а также товары, не включенные в указанны</w:t>
      </w:r>
      <w:r>
        <w:rPr>
          <w:highlight w:val="white"/>
        </w:rPr>
        <w:t xml:space="preserve">е перечни, Закупочная комиссия:</w:t>
      </w:r>
      <w:r>
        <w:rPr>
          <w:highlight w:val="white"/>
        </w:rPr>
      </w:r>
    </w:p>
    <w:p>
      <w:pPr>
        <w:ind w:firstLine="709"/>
        <w:spacing w:after="0"/>
        <w:widowControl w:val="off"/>
        <w:tabs>
          <w:tab w:val="center" w:pos="5457" w:leader="none"/>
        </w:tabs>
        <w:rPr>
          <w:spacing w:val="-4"/>
        </w:rPr>
      </w:pPr>
      <w:r>
        <w:rPr>
          <w:spacing w:val="-4"/>
          <w:highlight w:val="white"/>
        </w:rPr>
        <w:t xml:space="preserve">1.7.10.1. Рассматривает представленные в заявках на участие в закупке информацию и документы, подтверждающие страну происхождения товара, указанного в перечне № 1, в соответствии с «Технической частью»</w:t>
      </w:r>
      <w:r>
        <w:rPr>
          <w:spacing w:val="-6"/>
          <w:highlight w:val="white"/>
        </w:rPr>
        <w:t xml:space="preserve">.</w:t>
      </w:r>
      <w:r>
        <w:rPr>
          <w:spacing w:val="-4"/>
          <w:highlight w:val="white"/>
        </w:rPr>
        <w:t xml:space="preserve"> </w:t>
      </w:r>
      <w:r>
        <w:rPr>
          <w:spacing w:val="-4"/>
        </w:rPr>
      </w:r>
    </w:p>
    <w:p>
      <w:pPr>
        <w:ind w:firstLine="709"/>
        <w:spacing w:after="0"/>
        <w:widowControl w:val="off"/>
        <w:tabs>
          <w:tab w:val="center" w:pos="5457" w:leader="none"/>
        </w:tabs>
      </w:pPr>
      <w:r>
        <w:rPr>
          <w:highlight w:val="white"/>
        </w:rPr>
        <w:t xml:space="preserve">Если в заявке участн</w:t>
      </w:r>
      <w:r>
        <w:rPr>
          <w:highlight w:val="white"/>
        </w:rPr>
        <w:t xml:space="preserve">ика отсутствует информация и документы, подтверждающие страну происхождения товара, или к моменту первоначально установленного Извещением о закупке срока подачи заявок участников прекращена фактическая дата действия реестровой записи из реестра российской </w:t>
      </w:r>
      <w:r>
        <w:rPr>
          <w:highlight w:val="white"/>
        </w:rPr>
        <w:t xml:space="preserve">промышленной продукции или срок действия сертификата СТ-1 для подтверждения продукции из Евразийского реестра промышленных товаров и/или реестровая запись исключена из реестра российского программного обеспечения или из реестра евразийского программного об</w:t>
      </w:r>
      <w:r>
        <w:rPr>
          <w:highlight w:val="white"/>
        </w:rPr>
        <w:t xml:space="preserve">еспечения, то такой товар признается иностранным (происходящим из иностранного государства).</w:t>
      </w:r>
      <w:r/>
    </w:p>
    <w:p>
      <w:pPr>
        <w:ind w:firstLine="709"/>
        <w:spacing w:after="0"/>
        <w:widowControl w:val="off"/>
        <w:tabs>
          <w:tab w:val="center" w:pos="5457" w:leader="none"/>
        </w:tabs>
        <w:rPr>
          <w:highlight w:val="white"/>
        </w:rPr>
      </w:pPr>
      <w:r>
        <w:rPr>
          <w:highlight w:val="white"/>
        </w:rPr>
        <w:t xml:space="preserve">Заявка на участие в закупке, в которой содержится предложение о поставке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</w:t>
      </w:r>
      <w:r>
        <w:rPr>
          <w:highlight w:val="white"/>
        </w:rPr>
        <w:t xml:space="preserve">ствии предлагаемого программного обеспечения требованиям к доверенному программному обеспечению, приравнивается к заявке, в которой содержится предложение о поставке программного обеспечения, происходящего из иностранного государства, если на участие в нас</w:t>
      </w:r>
      <w:r>
        <w:rPr>
          <w:highlight w:val="white"/>
        </w:rPr>
        <w:t xml:space="preserve">тоящей закупке подана заявка, признанная по результатам ее рассмотрения соответствующей требованиям и содержащая предложение о программном обеспечении, реестровая запись о котором в реестре российского программного обеспечения или реестре евразийского прог</w:t>
      </w:r>
      <w:r>
        <w:rPr>
          <w:highlight w:val="white"/>
        </w:rPr>
        <w:t xml:space="preserve">раммного обеспечения содержит информацию о соответствии предлагаемого программного обеспечения требованиям к доверенному программному обеспечению.</w:t>
      </w:r>
      <w:r>
        <w:rPr>
          <w:highlight w:val="white"/>
        </w:rPr>
      </w:r>
    </w:p>
    <w:p>
      <w:pPr>
        <w:ind w:firstLine="567"/>
        <w:spacing w:after="0"/>
        <w:widowControl w:val="off"/>
      </w:pPr>
      <w:r>
        <w:t xml:space="preserve">Наличие в заявке на участие в закупке предложения о поставке такого товара, происходящего из иностранного гос</w:t>
      </w:r>
      <w:r>
        <w:t xml:space="preserve">ударства (в том числе признаваемого таковым по основаниям, предусмотренным настоящим пунктом), является основанием для ее отклонения.</w:t>
      </w:r>
      <w:r/>
    </w:p>
    <w:p>
      <w:pPr>
        <w:ind w:firstLine="567"/>
        <w:spacing w:after="0"/>
        <w:widowControl w:val="off"/>
        <w:rPr>
          <w:color w:val="000000"/>
        </w:rPr>
      </w:pPr>
      <w:r>
        <w:t xml:space="preserve">1.7.10.2. Рассматривает представленные в заявках на участие в закупке информацию </w:t>
      </w:r>
      <w:r>
        <w:t xml:space="preserve">и документы</w:t>
      </w:r>
      <w:r>
        <w:rPr>
          <w:color w:val="000000"/>
        </w:rPr>
        <w:t xml:space="preserve">, подтверждающие страну происх</w:t>
      </w:r>
      <w:r>
        <w:rPr>
          <w:color w:val="000000"/>
        </w:rPr>
        <w:t xml:space="preserve">ождения товара, указанного в перечне № 2, в соответствии с «Технической частью». </w:t>
      </w:r>
      <w:r>
        <w:rPr>
          <w:color w:val="000000"/>
        </w:rPr>
      </w:r>
    </w:p>
    <w:p>
      <w:pPr>
        <w:ind w:firstLine="567"/>
        <w:spacing w:after="0"/>
        <w:widowControl w:val="off"/>
        <w:rPr>
          <w:color w:val="000000"/>
        </w:rPr>
      </w:pPr>
      <w:r>
        <w:rPr>
          <w:color w:val="000000"/>
        </w:rPr>
        <w:t xml:space="preserve">Если в заявке участника отсутствует информация и документы, подтверждающие страну происхождения товара, указанные в «Технической части», или фактическая дата прекращения  дей</w:t>
      </w:r>
      <w:r>
        <w:rPr>
          <w:color w:val="000000"/>
        </w:rPr>
        <w:t xml:space="preserve">ствия реестровой записи из реестра российской промышленной продукции или срок действия сертификата СТ-1 для подтверждения продукции из Евразийского реестра промышленных товаров к моменту первоначально установленного Извещением о закупке срока подачи заявок</w:t>
      </w:r>
      <w:r>
        <w:rPr>
          <w:color w:val="000000"/>
        </w:rPr>
        <w:t xml:space="preserve"> участников, истекли, то такой товар признается иностранным (происходящим из иностранного государства).  </w:t>
      </w:r>
      <w:r>
        <w:rPr>
          <w:color w:val="000000"/>
        </w:rPr>
      </w:r>
    </w:p>
    <w:p>
      <w:pPr>
        <w:ind w:firstLine="567"/>
        <w:spacing w:after="0"/>
        <w:widowControl w:val="off"/>
        <w:rPr>
          <w:color w:val="000000"/>
        </w:rPr>
      </w:pPr>
      <w:r>
        <w:rPr>
          <w:color w:val="000000"/>
        </w:rPr>
        <w:t xml:space="preserve">Наличие в заявке на участие в закупке предложения о поставке такого товара, происходящего из иностранного государства (в том числе признаваемого таков</w:t>
      </w:r>
      <w:r>
        <w:rPr>
          <w:color w:val="000000"/>
        </w:rPr>
        <w:t xml:space="preserve">ым по основаниям, предусмотренным настоящим пунктом), является основанием для ее отклонения, если на участие в закупке также подана соответствующая установленным заказчиком документацией о закупке требованиям заявка, содержащая в отношении такого товара пр</w:t>
      </w:r>
      <w:r>
        <w:rPr>
          <w:color w:val="000000"/>
        </w:rPr>
        <w:t xml:space="preserve">едложение о поставке товара российского происхождения.</w:t>
      </w:r>
      <w:r>
        <w:rPr>
          <w:color w:val="000000"/>
        </w:rPr>
      </w:r>
    </w:p>
    <w:p>
      <w:pPr>
        <w:ind w:firstLine="567"/>
        <w:spacing w:after="0"/>
        <w:widowControl w:val="off"/>
        <w:rPr>
          <w:color w:val="000000"/>
        </w:rPr>
      </w:pPr>
      <w:r>
        <w:rPr>
          <w:color w:val="000000"/>
        </w:rPr>
        <w:t xml:space="preserve">1.7.10.3. Рассматривает представленные в технической части заявок на участие в закупке информацию и документы, подтверждающие страну происхождения товара, не указанного в перечнях № 1 и № 2. </w:t>
      </w:r>
      <w:r>
        <w:rPr>
          <w:color w:val="000000"/>
        </w:rPr>
      </w:r>
    </w:p>
    <w:p>
      <w:pPr>
        <w:ind w:firstLine="567"/>
        <w:spacing w:after="0"/>
        <w:widowControl w:val="off"/>
        <w:rPr>
          <w:color w:val="000000"/>
        </w:rPr>
      </w:pPr>
      <w:r>
        <w:rPr>
          <w:color w:val="000000"/>
        </w:rPr>
        <w:t xml:space="preserve">Заявка на</w:t>
      </w:r>
      <w:r>
        <w:rPr>
          <w:color w:val="000000"/>
        </w:rPr>
        <w:t xml:space="preserve"> участие в закупке получит преимущество, при одновременном соблюдении следующих условий:</w:t>
      </w:r>
      <w:r>
        <w:rPr>
          <w:color w:val="000000"/>
        </w:rPr>
      </w:r>
    </w:p>
    <w:p>
      <w:pPr>
        <w:numPr>
          <w:ilvl w:val="0"/>
          <w:numId w:val="55"/>
        </w:numPr>
        <w:ind w:left="1276" w:hanging="567"/>
        <w:spacing w:after="0"/>
        <w:widowControl w:val="off"/>
        <w:rPr>
          <w:color w:val="000000"/>
        </w:rPr>
      </w:pPr>
      <w:r>
        <w:rPr>
          <w:color w:val="000000"/>
        </w:rPr>
        <w:t xml:space="preserve">она не подлежит отклонению при применении запрета и ограничения и соответствует установленным требованиям документации;</w:t>
      </w:r>
      <w:r>
        <w:rPr>
          <w:color w:val="000000"/>
        </w:rPr>
      </w:r>
    </w:p>
    <w:p>
      <w:pPr>
        <w:numPr>
          <w:ilvl w:val="0"/>
          <w:numId w:val="55"/>
        </w:numPr>
        <w:ind w:left="1276" w:hanging="567"/>
        <w:spacing w:after="0"/>
        <w:widowControl w:val="off"/>
        <w:rPr>
          <w:color w:val="000000"/>
        </w:rPr>
      </w:pPr>
      <w:r>
        <w:rPr>
          <w:color w:val="000000"/>
        </w:rPr>
        <w:t xml:space="preserve">содержит предложение о поставке товаров только </w:t>
      </w:r>
      <w:r>
        <w:rPr>
          <w:color w:val="000000"/>
        </w:rPr>
        <w:t xml:space="preserve">российского происхождения (то есть заявка содержит предложение о поставке всех товаров российского происхождения, в том числе на которые распространяется запрет, ограничение, преимущество);</w:t>
      </w:r>
      <w:r>
        <w:rPr>
          <w:color w:val="000000"/>
        </w:rPr>
      </w:r>
    </w:p>
    <w:p>
      <w:pPr>
        <w:numPr>
          <w:ilvl w:val="0"/>
          <w:numId w:val="55"/>
        </w:numPr>
        <w:ind w:left="1276" w:hanging="567"/>
        <w:spacing w:after="0"/>
        <w:widowControl w:val="off"/>
        <w:rPr>
          <w:color w:val="000000"/>
        </w:rPr>
      </w:pPr>
      <w:r>
        <w:rPr>
          <w:color w:val="000000"/>
        </w:rPr>
        <w:t xml:space="preserve">в числе заявок на участие в закупке, в отношении которых отсутству</w:t>
      </w:r>
      <w:r>
        <w:rPr>
          <w:color w:val="000000"/>
        </w:rPr>
        <w:t xml:space="preserve">ют основания для отклонения, имеется заявка на участие в закупке, содержащая предложение о поставке хотя бы одного товара, происходящего из иностранного государства.</w:t>
      </w:r>
      <w:r>
        <w:rPr>
          <w:color w:val="000000"/>
        </w:rPr>
      </w:r>
    </w:p>
    <w:p>
      <w:pPr>
        <w:ind w:firstLine="709"/>
        <w:spacing w:after="0"/>
        <w:widowControl w:val="off"/>
        <w:tabs>
          <w:tab w:val="center" w:pos="5457" w:leader="none"/>
        </w:tabs>
      </w:pPr>
      <w:r>
        <w:rPr>
          <w:color w:val="000000"/>
        </w:rPr>
        <w:t xml:space="preserve">В случаях, если по основаниям, предусмотренным постановлением Правительства РФ от 23.12.20</w:t>
      </w:r>
      <w:r>
        <w:rPr>
          <w:color w:val="000000"/>
        </w:rPr>
        <w:t xml:space="preserve">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лиц, об изменении и признании утрати</w:t>
      </w:r>
      <w:r>
        <w:rPr>
          <w:color w:val="000000"/>
        </w:rPr>
        <w:t xml:space="preserve">вшими силу некоторых актов Правительства Российской Федерации», документацией о закупке к определенным товарам не установлены меры в виде запретов и/или ограничений, то к таким товарам применяется преимущество</w:t>
      </w:r>
      <w:r>
        <w:rPr>
          <w:highlight w:val="white"/>
        </w:rPr>
        <w:t xml:space="preserve">.</w:t>
      </w:r>
      <w:r/>
    </w:p>
    <w:p>
      <w:pPr>
        <w:pStyle w:val="1495"/>
        <w:ind w:left="851"/>
        <w:rPr>
          <w:b/>
          <w:bCs/>
        </w:rPr>
      </w:pPr>
      <w:r/>
      <w:bookmarkStart w:id="58" w:name="_Toc123405462"/>
      <w:r/>
      <w:bookmarkStart w:id="59" w:name="_Toc166101207"/>
      <w:r/>
      <w:bookmarkEnd w:id="14"/>
      <w:r/>
      <w:r>
        <w:rPr>
          <w:b/>
          <w:bCs/>
        </w:rPr>
      </w:r>
    </w:p>
    <w:p>
      <w:pPr>
        <w:pStyle w:val="1114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sz w:val="24"/>
          <w:szCs w:val="24"/>
        </w:rPr>
      </w:pPr>
      <w:r/>
      <w:bookmarkStart w:id="60" w:name="_Toc126935826"/>
      <w:r/>
      <w:bookmarkStart w:id="61" w:name="_Toc132974741"/>
      <w:r/>
      <w:bookmarkStart w:id="62" w:name="_Toc243045042"/>
      <w:r>
        <w:rPr>
          <w:sz w:val="24"/>
          <w:szCs w:val="24"/>
        </w:rPr>
        <w:t xml:space="preserve">ДОКУМЕНТАЦИЯ</w:t>
      </w:r>
      <w:bookmarkEnd w:id="58"/>
      <w:r/>
      <w:bookmarkEnd w:id="59"/>
      <w:r>
        <w:rPr>
          <w:sz w:val="24"/>
          <w:szCs w:val="24"/>
        </w:rPr>
        <w:t xml:space="preserve"> О ЗАКУПКЕ</w:t>
      </w:r>
      <w:bookmarkEnd w:id="60"/>
      <w:r/>
      <w:bookmarkEnd w:id="61"/>
      <w:r/>
      <w:bookmarkEnd w:id="62"/>
      <w:r/>
      <w:r>
        <w:rPr>
          <w:sz w:val="24"/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63" w:name="_Ref11225592"/>
      <w:r/>
      <w:bookmarkStart w:id="64" w:name="_Toc13035844"/>
      <w:r/>
      <w:bookmarkStart w:id="65" w:name="_Toc123405463"/>
      <w:r/>
      <w:bookmarkStart w:id="66" w:name="_Toc169628374"/>
      <w:r/>
      <w:bookmarkStart w:id="67" w:name="_Toc126935827"/>
      <w:r/>
      <w:bookmarkStart w:id="68" w:name="_Toc132974742"/>
      <w:r/>
      <w:bookmarkStart w:id="69" w:name="_Toc243045043"/>
      <w:r>
        <w:rPr>
          <w:sz w:val="24"/>
          <w:szCs w:val="24"/>
        </w:rPr>
        <w:t xml:space="preserve">Предоставление докуме</w:t>
      </w:r>
      <w:r>
        <w:rPr>
          <w:sz w:val="24"/>
          <w:szCs w:val="24"/>
        </w:rPr>
        <w:t xml:space="preserve">нтации</w:t>
      </w:r>
      <w:bookmarkEnd w:id="63"/>
      <w:r/>
      <w:bookmarkEnd w:id="64"/>
      <w:r/>
      <w:bookmarkEnd w:id="65"/>
      <w:r/>
      <w:bookmarkEnd w:id="66"/>
      <w:r>
        <w:rPr>
          <w:sz w:val="24"/>
          <w:szCs w:val="24"/>
        </w:rPr>
        <w:t xml:space="preserve"> о закупке</w:t>
      </w:r>
      <w:bookmarkEnd w:id="67"/>
      <w:r/>
      <w:bookmarkEnd w:id="68"/>
      <w:r/>
      <w:bookmarkEnd w:id="69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0" w:name="_Ref166101804"/>
      <w:r>
        <w:rPr>
          <w:rFonts w:ascii="Times New Roman" w:hAnsi="Times New Roman" w:cs="Times New Roman"/>
          <w:b w:val="0"/>
          <w:bCs w:val="0"/>
        </w:rPr>
        <w:t xml:space="preserve">Документация о закупке в электронном виде безвозмездно доступна для ознакомления на официальном сайте Единой информационной системы www.zakupki.gov.ru, а также на сайте электронной площадки РТС-Тендер (далее – ЭП)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http</w:t>
      </w:r>
      <w:r>
        <w:rPr>
          <w:rFonts w:ascii="Times New Roman" w:hAnsi="Times New Roman" w:cs="Times New Roman"/>
          <w:b w:val="0"/>
          <w:bCs w:val="0"/>
        </w:rPr>
        <w:t xml:space="preserve">://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rts</w:t>
      </w:r>
      <w:r>
        <w:rPr>
          <w:rFonts w:ascii="Times New Roman" w:hAnsi="Times New Roman" w:cs="Times New Roman"/>
          <w:b w:val="0"/>
          <w:bCs w:val="0"/>
        </w:rPr>
        <w:t xml:space="preserve">-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tender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ru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70"/>
      <w:r>
        <w:rPr>
          <w:rFonts w:ascii="Times New Roman" w:hAnsi="Times New Roman" w:cs="Times New Roman"/>
          <w:b w:val="0"/>
          <w:bCs w:val="0"/>
        </w:rPr>
        <w:t xml:space="preserve"> Срок начала предоставления документации о закупке устанавливается Заказчиком в извещении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left"/>
        <w:keepNext w:val="0"/>
        <w:spacing w:after="0"/>
        <w:rPr>
          <w:sz w:val="24"/>
          <w:szCs w:val="24"/>
        </w:rPr>
      </w:pPr>
      <w:r/>
      <w:bookmarkStart w:id="71" w:name="_Toc123405464"/>
      <w:r/>
      <w:bookmarkStart w:id="72" w:name="_Toc126935828"/>
      <w:r/>
      <w:bookmarkStart w:id="73" w:name="_Toc132974743"/>
      <w:r/>
      <w:bookmarkStart w:id="74" w:name="_Toc243045044"/>
      <w:r>
        <w:rPr>
          <w:sz w:val="24"/>
          <w:szCs w:val="24"/>
        </w:rPr>
        <w:t xml:space="preserve">Разъяснение положений документации</w:t>
      </w:r>
      <w:bookmarkEnd w:id="71"/>
      <w:r>
        <w:rPr>
          <w:sz w:val="24"/>
          <w:szCs w:val="24"/>
        </w:rPr>
        <w:t xml:space="preserve"> о закупке</w:t>
      </w:r>
      <w:bookmarkEnd w:id="72"/>
      <w:r/>
      <w:bookmarkEnd w:id="73"/>
      <w:r/>
      <w:bookmarkEnd w:id="74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75" w:name="_Ref166349349"/>
      <w:r>
        <w:rPr>
          <w:rFonts w:ascii="Times New Roman" w:hAnsi="Times New Roman" w:cs="Times New Roman"/>
          <w:b w:val="0"/>
          <w:bCs w:val="0"/>
        </w:rPr>
        <w:t xml:space="preserve">Любой участник закупки вправе направить средствами электронной площадки Заказчику запрос о даче разъяснений положений документации о закупке. Порядок подачи запроса на разъяснения положений документации о закупке определяется </w:t>
      </w:r>
      <w:r>
        <w:rPr>
          <w:rFonts w:ascii="Times New Roman" w:hAnsi="Times New Roman" w:cs="Times New Roman"/>
          <w:b w:val="0"/>
        </w:rPr>
        <w:t xml:space="preserve">Регламентом работы ЭП</w:t>
      </w:r>
      <w:r>
        <w:rPr>
          <w:rFonts w:ascii="Times New Roman" w:hAnsi="Times New Roman" w:cs="Times New Roman"/>
          <w:b w:val="0"/>
          <w:bCs w:val="0"/>
        </w:rPr>
        <w:t xml:space="preserve">. Дата и </w:t>
      </w:r>
      <w:r>
        <w:rPr>
          <w:rFonts w:ascii="Times New Roman" w:hAnsi="Times New Roman" w:cs="Times New Roman"/>
          <w:b w:val="0"/>
          <w:bCs w:val="0"/>
        </w:rPr>
        <w:t xml:space="preserve">время окончания срока предоставления участникам </w:t>
      </w:r>
      <w:r>
        <w:rPr>
          <w:rFonts w:ascii="Times New Roman" w:hAnsi="Times New Roman" w:cs="Times New Roman"/>
          <w:b w:val="0"/>
          <w:bCs w:val="0"/>
        </w:rPr>
        <w:t xml:space="preserve">закупки разъяснений положений документации о закупке указаны в пункте 15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течение трех рабочих дней с даты поступления запроса, Заказчик осуществляет разъяснение поло</w:t>
      </w:r>
      <w:r>
        <w:rPr>
          <w:rFonts w:ascii="Times New Roman" w:hAnsi="Times New Roman" w:cs="Times New Roman"/>
          <w:b w:val="0"/>
          <w:bCs w:val="0"/>
        </w:rPr>
        <w:t xml:space="preserve">жений документации о закупке и размещает их в ЕИС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</w:t>
      </w:r>
      <w:r>
        <w:rPr>
          <w:rFonts w:ascii="Times New Roman" w:hAnsi="Times New Roman" w:cs="Times New Roman"/>
          <w:b w:val="0"/>
          <w:bCs w:val="0"/>
        </w:rPr>
        <w:t xml:space="preserve">пил позднее чем за 3 (три) рабочих дня до даты окончания срока подачи заявок на участие в такой закупке. </w:t>
      </w:r>
      <w:bookmarkEnd w:id="75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Разъяснения положений документации о закупке не должны изменять предмет закупки и существенные условия проекта договора.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76" w:name="_Ref119429410"/>
      <w:r/>
      <w:bookmarkStart w:id="77" w:name="_Toc123405465"/>
      <w:r/>
      <w:bookmarkStart w:id="78" w:name="_Toc126935829"/>
      <w:r/>
      <w:bookmarkStart w:id="79" w:name="_Toc132974744"/>
      <w:r/>
      <w:bookmarkStart w:id="80" w:name="_Toc243045045"/>
      <w:r>
        <w:rPr>
          <w:sz w:val="24"/>
          <w:szCs w:val="24"/>
        </w:rPr>
        <w:t xml:space="preserve">Внесение изменений в извещен</w:t>
      </w:r>
      <w:r>
        <w:rPr>
          <w:sz w:val="24"/>
          <w:szCs w:val="24"/>
        </w:rPr>
        <w:t xml:space="preserve">ие о </w:t>
      </w:r>
      <w:bookmarkEnd w:id="76"/>
      <w:r/>
      <w:bookmarkEnd w:id="77"/>
      <w:r>
        <w:rPr>
          <w:sz w:val="24"/>
          <w:szCs w:val="24"/>
        </w:rPr>
        <w:t xml:space="preserve">закупке и/или документацию о закупке</w:t>
      </w:r>
      <w:bookmarkEnd w:id="78"/>
      <w:r/>
      <w:bookmarkEnd w:id="79"/>
      <w:r/>
      <w:bookmarkEnd w:id="8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 окончания срока подачи заявок Заказчик может по любой причине внести изменения в извещение о закупке и/или документацию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Изменения, вносимые в извещение о закупке и/или документацию о закупке, размещаю</w:t>
      </w:r>
      <w:r>
        <w:rPr>
          <w:rFonts w:ascii="Times New Roman" w:hAnsi="Times New Roman" w:cs="Times New Roman"/>
          <w:b w:val="0"/>
        </w:rPr>
        <w:t xml:space="preserve">тся Заказчиком в ЕИС не позднее чем в течение 3 (трех) дней со дня принятия решения о внесении указанных изменений. </w:t>
      </w:r>
      <w:r>
        <w:rPr>
          <w:rFonts w:ascii="Times New Roman" w:hAnsi="Times New Roman" w:cs="Times New Roman"/>
          <w:b w:val="0"/>
          <w:bCs w:val="0"/>
        </w:rPr>
        <w:t xml:space="preserve">При этом </w:t>
      </w:r>
      <w:r>
        <w:rPr>
          <w:rFonts w:ascii="Times New Roman" w:hAnsi="Times New Roman" w:cs="Times New Roman"/>
          <w:b w:val="0"/>
        </w:rPr>
        <w:t xml:space="preserve">срок подачи заявок на участие в закупке должен быть продлен таким образом, чтобы с даты размещения в ЕИС указанных изменений до дат</w:t>
      </w:r>
      <w:r>
        <w:rPr>
          <w:rFonts w:ascii="Times New Roman" w:hAnsi="Times New Roman" w:cs="Times New Roman"/>
          <w:b w:val="0"/>
        </w:rPr>
        <w:t xml:space="preserve">ы окончания срока подачи заявок на участие в закупке оставалось не менее половины срока подачи заявок на участие в закупке, установленного в Положении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не несет ответственности в случае, если 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не ознакомился с изменениями</w:t>
      </w:r>
      <w:r>
        <w:rPr>
          <w:rFonts w:ascii="Times New Roman" w:hAnsi="Times New Roman" w:cs="Times New Roman"/>
          <w:b w:val="0"/>
          <w:bCs w:val="0"/>
        </w:rPr>
        <w:t xml:space="preserve">, внесенными в извещение о закупке и/или документацию о закупке, размещенными надлежащим образом. 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left"/>
        <w:spacing w:after="0"/>
        <w:rPr>
          <w:sz w:val="24"/>
          <w:szCs w:val="24"/>
        </w:rPr>
      </w:pPr>
      <w:r/>
      <w:bookmarkStart w:id="81" w:name="_Toc123405466"/>
      <w:r/>
      <w:bookmarkStart w:id="82" w:name="_Toc126935830"/>
      <w:r/>
      <w:bookmarkStart w:id="83" w:name="_Toc132974745"/>
      <w:r/>
      <w:bookmarkStart w:id="84" w:name="_Toc243045046"/>
      <w:r>
        <w:rPr>
          <w:sz w:val="24"/>
          <w:szCs w:val="24"/>
        </w:rPr>
        <w:t xml:space="preserve">Отмена </w:t>
      </w:r>
      <w:bookmarkEnd w:id="81"/>
      <w:r>
        <w:rPr>
          <w:sz w:val="24"/>
          <w:szCs w:val="24"/>
        </w:rPr>
        <w:t xml:space="preserve">закупки</w:t>
      </w:r>
      <w:bookmarkEnd w:id="82"/>
      <w:r/>
      <w:bookmarkEnd w:id="83"/>
      <w:r/>
      <w:bookmarkEnd w:id="84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5" w:name="_Ref166158219"/>
      <w:r>
        <w:rPr>
          <w:rFonts w:ascii="Times New Roman" w:hAnsi="Times New Roman" w:cs="Times New Roman"/>
          <w:b w:val="0"/>
          <w:bCs w:val="0"/>
        </w:rPr>
        <w:t xml:space="preserve">Заказчик вправе отменить закупку по одному и более предмету закупки (лоту) до наступления даты и времени окончания срока подачи заявок на уча</w:t>
      </w:r>
      <w:r>
        <w:rPr>
          <w:rFonts w:ascii="Times New Roman" w:hAnsi="Times New Roman" w:cs="Times New Roman"/>
          <w:b w:val="0"/>
          <w:bCs w:val="0"/>
        </w:rPr>
        <w:t xml:space="preserve">стие в закупке.</w:t>
      </w:r>
      <w:bookmarkEnd w:id="85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86" w:name="_Ref166349406"/>
      <w:r>
        <w:rPr>
          <w:rFonts w:ascii="Times New Roman" w:hAnsi="Times New Roman" w:cs="Times New Roman"/>
          <w:b w:val="0"/>
          <w:bCs w:val="0"/>
        </w:rPr>
        <w:t xml:space="preserve">Решение об отмене закупки размещается Заказчиком в ЕИС в день принятия этого решения.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</w:t>
      </w:r>
      <w:r>
        <w:rPr>
          <w:rFonts w:ascii="Times New Roman" w:hAnsi="Times New Roman" w:cs="Times New Roman"/>
          <w:b w:val="0"/>
          <w:bCs w:val="0"/>
        </w:rPr>
        <w:t xml:space="preserve"> в соответствии с гражданским законодательством. 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4"/>
        <w:numPr>
          <w:ilvl w:val="0"/>
          <w:numId w:val="1"/>
        </w:numPr>
        <w:ind w:left="0" w:firstLine="567"/>
        <w:jc w:val="both"/>
        <w:keepNext w:val="0"/>
        <w:spacing w:before="0" w:after="0"/>
        <w:rPr>
          <w:sz w:val="24"/>
          <w:szCs w:val="24"/>
        </w:rPr>
      </w:pPr>
      <w:r/>
      <w:bookmarkStart w:id="87" w:name="_Toc123405467"/>
      <w:r/>
      <w:bookmarkStart w:id="88" w:name="_Toc166101208"/>
      <w:r/>
      <w:bookmarkStart w:id="89" w:name="_Ref166159542"/>
      <w:r/>
      <w:bookmarkStart w:id="90" w:name="_Ref166159546"/>
      <w:r/>
      <w:bookmarkStart w:id="91" w:name="_Ref166250138"/>
      <w:r/>
      <w:bookmarkStart w:id="92" w:name="_Ref166250141"/>
      <w:r/>
      <w:bookmarkStart w:id="93" w:name="_Toc126935831"/>
      <w:r/>
      <w:bookmarkStart w:id="94" w:name="_Toc132974746"/>
      <w:r/>
      <w:bookmarkStart w:id="95" w:name="_Toc243045047"/>
      <w:r/>
      <w:bookmarkEnd w:id="86"/>
      <w:r>
        <w:rPr>
          <w:sz w:val="24"/>
          <w:szCs w:val="24"/>
        </w:rPr>
        <w:t xml:space="preserve">ТРЕБОВАНИЯ К СОДЕРЖАНИЮ ЗАЯВКИ НА УЧАСТИЕ В </w:t>
      </w:r>
      <w:bookmarkEnd w:id="87"/>
      <w:r/>
      <w:bookmarkEnd w:id="88"/>
      <w:r/>
      <w:bookmarkEnd w:id="89"/>
      <w:r/>
      <w:bookmarkEnd w:id="90"/>
      <w:r/>
      <w:bookmarkEnd w:id="91"/>
      <w:r/>
      <w:bookmarkEnd w:id="92"/>
      <w:r>
        <w:rPr>
          <w:sz w:val="24"/>
          <w:szCs w:val="24"/>
        </w:rPr>
        <w:t xml:space="preserve">ЗАКУПКЕ</w:t>
      </w:r>
      <w:bookmarkEnd w:id="93"/>
      <w:r/>
      <w:bookmarkEnd w:id="94"/>
      <w:r/>
      <w:bookmarkEnd w:id="95"/>
      <w:r/>
      <w:r>
        <w:rPr>
          <w:sz w:val="24"/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left"/>
        <w:spacing w:after="0"/>
        <w:rPr>
          <w:sz w:val="24"/>
          <w:szCs w:val="24"/>
        </w:rPr>
      </w:pPr>
      <w:r/>
      <w:bookmarkStart w:id="96" w:name="_Toc126935832"/>
      <w:r/>
      <w:bookmarkStart w:id="97" w:name="_Toc132974747"/>
      <w:r/>
      <w:bookmarkStart w:id="98" w:name="_Toc243045048"/>
      <w:r>
        <w:rPr>
          <w:sz w:val="24"/>
          <w:szCs w:val="24"/>
        </w:rPr>
        <w:t xml:space="preserve">Требования к оформлению заявки на участие в закупке</w:t>
      </w:r>
      <w:bookmarkEnd w:id="96"/>
      <w:r/>
      <w:bookmarkEnd w:id="97"/>
      <w:r/>
      <w:bookmarkEnd w:id="98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99" w:name="_Ref166246797"/>
      <w:r/>
      <w:bookmarkStart w:id="100" w:name="_Ref119429784"/>
      <w:r/>
      <w:bookmarkStart w:id="101" w:name="_Ref119429817"/>
      <w:r/>
      <w:bookmarkStart w:id="102" w:name="_Ref119430333"/>
      <w:r/>
      <w:bookmarkStart w:id="103" w:name="_Toc123405470"/>
      <w:r>
        <w:rPr>
          <w:rFonts w:ascii="Times New Roman" w:hAnsi="Times New Roman" w:cs="Times New Roman"/>
          <w:b w:val="0"/>
          <w:bCs w:val="0"/>
        </w:rPr>
        <w:t xml:space="preserve">Предполагается, что участник закупки изучит все инструкции, формы, условия, технические условия и дру</w:t>
      </w:r>
      <w:r>
        <w:rPr>
          <w:rFonts w:ascii="Times New Roman" w:hAnsi="Times New Roman" w:cs="Times New Roman"/>
          <w:b w:val="0"/>
          <w:bCs w:val="0"/>
        </w:rPr>
        <w:t xml:space="preserve">гую информацию, содержащуюся в документации о закупке, а также разъяснения извещения о закупке и/или документации о закупке в случае их наличия. Никакие претензии Заказчику закупки не будут приниматься на том основании, что участник закупки не понимал каки</w:t>
      </w:r>
      <w:r>
        <w:rPr>
          <w:rFonts w:ascii="Times New Roman" w:hAnsi="Times New Roman" w:cs="Times New Roman"/>
          <w:b w:val="0"/>
          <w:bCs w:val="0"/>
        </w:rPr>
        <w:t xml:space="preserve">е-либо вопросы. Неполное представление информации, запрашиваемой в документации о закупке, или же подача заявки, не отвечающей требованиям документации о закупке, является основанием для признания заявки не соответствующей требованиям документации о закупк</w:t>
      </w:r>
      <w:r>
        <w:rPr>
          <w:rFonts w:ascii="Times New Roman" w:hAnsi="Times New Roman" w:cs="Times New Roman"/>
          <w:b w:val="0"/>
          <w:bCs w:val="0"/>
        </w:rPr>
        <w:t xml:space="preserve">е и отклонения участника от участия в закупке.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Участник закупки готовит заявку на участие в закупке в соответствии с требованиями раздела 3 «ТРЕБОВАНИЯ К СОДЕРЖАНИЮ ЗАЯВКИ НА УЧАСТИЕ В ЗАКУПКЕ» части </w:t>
      </w:r>
      <w:r>
        <w:rPr>
          <w:rFonts w:ascii="Times New Roman" w:hAnsi="Times New Roman" w:cs="Times New Roman"/>
          <w:b w:val="0"/>
          <w:lang w:val="en-US"/>
        </w:rPr>
        <w:t xml:space="preserve">I</w:t>
      </w:r>
      <w:r>
        <w:rPr>
          <w:rFonts w:ascii="Times New Roman" w:hAnsi="Times New Roman" w:cs="Times New Roman"/>
          <w:b w:val="0"/>
        </w:rPr>
        <w:t xml:space="preserve"> «ОБЩИЕ УСЛОВИЯ ПРОВЕДЕНИЯ ЗАКУПКИ» и в соответствии с формами документов, установленными частью </w:t>
      </w:r>
      <w:r>
        <w:rPr>
          <w:rFonts w:ascii="Times New Roman" w:hAnsi="Times New Roman" w:cs="Times New Roman"/>
          <w:b w:val="0"/>
          <w:lang w:val="en-US"/>
        </w:rPr>
        <w:t xml:space="preserve">III</w:t>
      </w:r>
      <w:r>
        <w:rPr>
          <w:rFonts w:ascii="Times New Roman" w:hAnsi="Times New Roman" w:cs="Times New Roman"/>
          <w:b w:val="0"/>
        </w:rPr>
        <w:t xml:space="preserve"> «</w:t>
      </w:r>
      <w:r>
        <w:rPr>
          <w:rFonts w:ascii="Times New Roman" w:hAnsi="Times New Roman" w:cs="Times New Roman"/>
          <w:b w:val="0"/>
        </w:rPr>
        <w:t xml:space="preserve">ОБРАЗЦЫ ФОРМ ДЛЯ ЗАПОЛНЕНИЯ УЧАСТНИКАМИ ЗАКУПКИ». Заявка действительна в течение срока, указанного </w:t>
      </w:r>
      <w:r>
        <w:rPr>
          <w:rFonts w:ascii="Times New Roman" w:hAnsi="Times New Roman" w:cs="Times New Roman"/>
          <w:b w:val="0"/>
        </w:rPr>
        <w:t xml:space="preserve">участником закупки в письме о подаче оферты. В любом случае этот срок не должен быть менее, чем 90 календарных дней со дня, следующего за днем окончания пода</w:t>
      </w:r>
      <w:r>
        <w:rPr>
          <w:rFonts w:ascii="Times New Roman" w:hAnsi="Times New Roman" w:cs="Times New Roman"/>
          <w:b w:val="0"/>
        </w:rPr>
        <w:t xml:space="preserve">чи заявок, указанном в пункте 8 части II «ИНФОРМАЦИОННАЯ КАРТА ЗАКУПКИ»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99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документов заявки участник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должен применять общепринятые обозначения и наименования в соответствии с требованиями действующих нормативных правовых актов, если ино</w:t>
      </w:r>
      <w:r>
        <w:rPr>
          <w:rFonts w:ascii="Times New Roman" w:hAnsi="Times New Roman" w:cs="Times New Roman"/>
          <w:b w:val="0"/>
          <w:bCs w:val="0"/>
        </w:rPr>
        <w:t xml:space="preserve">е не указано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«ТЕХНИЧЕСКАЯ ЧАСТЬ»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Сведения, которые содержатся в заявках участников закупки, в том числе сведения, указываемые участником на электронной площадке с использованием ее функционала и электронными документами (электронными образами до</w:t>
      </w:r>
      <w:r>
        <w:rPr>
          <w:rFonts w:ascii="Times New Roman" w:hAnsi="Times New Roman" w:cs="Times New Roman"/>
          <w:b w:val="0"/>
          <w:bCs w:val="0"/>
        </w:rPr>
        <w:t xml:space="preserve">кументов), размещаемыми участником в составе заявки, не должны содержать расхождений, допускающих двусмысленное толкование содержания предложения участника, в том числе в части предмета закупки, цены предложения (включая стоимость каждой единицы продукции </w:t>
      </w:r>
      <w:r>
        <w:rPr>
          <w:rFonts w:ascii="Times New Roman" w:hAnsi="Times New Roman" w:cs="Times New Roman"/>
          <w:b w:val="0"/>
          <w:bCs w:val="0"/>
        </w:rPr>
        <w:t xml:space="preserve">и/или отдельные стоимостные позиции работ, этапов работ и т.п., составляющих общую стоимость заявки, размера и сроков выплаты аванса), сроков поставки/выполнения работ. При наличии в заявке указанных расхождений, закупочная комиссия принимает решение об от</w:t>
      </w:r>
      <w:r>
        <w:rPr>
          <w:rFonts w:ascii="Times New Roman" w:hAnsi="Times New Roman" w:cs="Times New Roman"/>
          <w:b w:val="0"/>
          <w:bCs w:val="0"/>
        </w:rPr>
        <w:t xml:space="preserve">клонении заявки.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04" w:name="_Ref11475563"/>
      <w:r>
        <w:rPr>
          <w:rFonts w:ascii="Times New Roman" w:hAnsi="Times New Roman" w:cs="Times New Roman"/>
          <w:b w:val="0"/>
          <w:bCs w:val="0"/>
        </w:rPr>
        <w:t xml:space="preserve">Если в документах, входящих в состав заявки на участие в закупке, </w:t>
      </w:r>
      <w:bookmarkEnd w:id="104"/>
      <w:r>
        <w:rPr>
          <w:rFonts w:ascii="Times New Roman" w:hAnsi="Times New Roman" w:cs="Times New Roman"/>
          <w:b w:val="0"/>
          <w:bCs w:val="0"/>
        </w:rPr>
        <w:t xml:space="preserve">имеются расхождения между обозначением сумм прописью и цифрами, то Закупочной комиссией принимается к рассмотрению сумма, указанная прописью.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Все документы заявки и приложен</w:t>
      </w:r>
      <w:r>
        <w:rPr>
          <w:rFonts w:ascii="Times New Roman" w:hAnsi="Times New Roman" w:cs="Times New Roman"/>
          <w:b w:val="0"/>
          <w:bCs w:val="0"/>
        </w:rPr>
        <w:t xml:space="preserve">ия к ней должны иметь четко читаемый текст. Подчистки и исправления не допускаются, за исключением исправлений, скрепленных печатью при наличии печати и заверенных подписью уполномоченного лица.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Все документы, представляемые участниками </w:t>
      </w:r>
      <w:r>
        <w:rPr>
          <w:rFonts w:ascii="Times New Roman" w:hAnsi="Times New Roman" w:cs="Times New Roman"/>
          <w:b w:val="0"/>
        </w:rPr>
        <w:t xml:space="preserve">закупки </w:t>
      </w:r>
      <w:r>
        <w:rPr>
          <w:rFonts w:ascii="Times New Roman" w:hAnsi="Times New Roman" w:cs="Times New Roman"/>
          <w:b w:val="0"/>
          <w:bCs w:val="0"/>
        </w:rPr>
        <w:t xml:space="preserve">в составе заявки на участие в закупке, должны быть заполнены по всем пунктам, за исключением пунктов, носящих рекомендательный характер.</w:t>
      </w:r>
      <w:bookmarkStart w:id="105" w:name="_Ref166313158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обеспечивает разумную конфиденциальность относительно всех полученных от участников закупки сведений, в том чи</w:t>
      </w:r>
      <w:r>
        <w:rPr>
          <w:rFonts w:ascii="Times New Roman" w:hAnsi="Times New Roman" w:cs="Times New Roman"/>
          <w:b w:val="0"/>
          <w:bCs w:val="0"/>
        </w:rPr>
        <w:t xml:space="preserve">сле содержащихся в заявках. Предоставление этой информации другим участникам закупки или третьим лицам возможно только в случаях, прямо предусмотренных действующим законодательством Российской Федерации и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left"/>
        <w:spacing w:after="0"/>
        <w:rPr>
          <w:sz w:val="24"/>
          <w:szCs w:val="24"/>
        </w:rPr>
      </w:pPr>
      <w:r/>
      <w:bookmarkStart w:id="106" w:name="_Toc123405469"/>
      <w:r/>
      <w:bookmarkStart w:id="107" w:name="_Toc387652312"/>
      <w:r/>
      <w:bookmarkStart w:id="108" w:name="_Toc126935833"/>
      <w:r/>
      <w:bookmarkStart w:id="109" w:name="_Toc132974748"/>
      <w:r/>
      <w:bookmarkStart w:id="110" w:name="_Toc243045049"/>
      <w:r/>
      <w:bookmarkEnd w:id="105"/>
      <w:r>
        <w:rPr>
          <w:sz w:val="24"/>
          <w:szCs w:val="24"/>
        </w:rPr>
        <w:t xml:space="preserve">Язык документов, в</w:t>
      </w:r>
      <w:r>
        <w:rPr>
          <w:sz w:val="24"/>
          <w:szCs w:val="24"/>
        </w:rPr>
        <w:t xml:space="preserve">ходящих в состав заявки на участие в </w:t>
      </w:r>
      <w:bookmarkEnd w:id="106"/>
      <w:r/>
      <w:bookmarkEnd w:id="107"/>
      <w:r>
        <w:rPr>
          <w:sz w:val="24"/>
          <w:szCs w:val="24"/>
        </w:rPr>
        <w:t xml:space="preserve">закупке</w:t>
      </w:r>
      <w:bookmarkEnd w:id="108"/>
      <w:r/>
      <w:bookmarkEnd w:id="109"/>
      <w:r/>
      <w:bookmarkEnd w:id="11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Заявка на участие в закупке должна быть подготовлена на русском языке за исключением нижеследующего.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Документы, оригиналы которых выданы участнику закупки третьими лицами на ином языке, могут быть представлены </w:t>
      </w:r>
      <w:r>
        <w:rPr>
          <w:rFonts w:ascii="Times New Roman" w:hAnsi="Times New Roman" w:cs="Times New Roman"/>
          <w:b w:val="0"/>
          <w:bCs w:val="0"/>
        </w:rPr>
        <w:t xml:space="preserve">на языке оригинала при условии, что к ним приложен перевод этих документов на русский язык (в специально оговоренных случаях — апостилированный). При выявлении расхождений между русским переводом и оригиналом документа на ином языке Заказчик будет принимат</w:t>
      </w:r>
      <w:r>
        <w:rPr>
          <w:rFonts w:ascii="Times New Roman" w:hAnsi="Times New Roman" w:cs="Times New Roman"/>
          <w:b w:val="0"/>
          <w:bCs w:val="0"/>
        </w:rPr>
        <w:t xml:space="preserve">ь решение на основании перевода.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11" w:name="_Toc518119272"/>
      <w:r>
        <w:rPr>
          <w:rFonts w:ascii="Times New Roman" w:hAnsi="Times New Roman" w:cs="Times New Roman"/>
          <w:b w:val="0"/>
        </w:rPr>
        <w:t xml:space="preserve">Закупочная комиссия не рассматривает документы, не переведенные на русский язык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bookmarkEnd w:id="111"/>
      <w:r/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12" w:name="_Toc126935834"/>
      <w:r/>
      <w:bookmarkStart w:id="113" w:name="_Toc132974749"/>
      <w:r/>
      <w:bookmarkStart w:id="114" w:name="_Toc243045050"/>
      <w:r>
        <w:rPr>
          <w:sz w:val="24"/>
          <w:szCs w:val="24"/>
        </w:rPr>
        <w:t xml:space="preserve">Требования к валюте заявки</w:t>
      </w:r>
      <w:bookmarkEnd w:id="112"/>
      <w:r/>
      <w:bookmarkEnd w:id="113"/>
      <w:r/>
      <w:bookmarkEnd w:id="114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15" w:name="_Hlt517806775"/>
      <w:r/>
      <w:bookmarkStart w:id="116" w:name="_Ref52534291"/>
      <w:r/>
      <w:bookmarkEnd w:id="115"/>
      <w:r>
        <w:rPr>
          <w:rFonts w:ascii="Times New Roman" w:hAnsi="Times New Roman" w:cs="Times New Roman"/>
          <w:b w:val="0"/>
        </w:rPr>
        <w:t xml:space="preserve">Все суммы денежных средств в документах, входящих в заявку участника, должны быть выражены в российских рублях (е</w:t>
      </w:r>
      <w:r>
        <w:rPr>
          <w:rFonts w:ascii="Times New Roman" w:hAnsi="Times New Roman" w:cs="Times New Roman"/>
          <w:b w:val="0"/>
        </w:rPr>
        <w:t xml:space="preserve">сли иное не установлено в документации о закупке) за исключением нижеследующего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116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17" w:name="_Toc518119275"/>
      <w:r>
        <w:rPr>
          <w:rFonts w:ascii="Times New Roman" w:hAnsi="Times New Roman" w:cs="Times New Roman"/>
          <w:b w:val="0"/>
        </w:rPr>
        <w:t xml:space="preserve">Документы, оригиналы которых выданы участнику закупки третьими лицами с выражением сумм денежных средств в иных валютах, могут быть представлены в валюте оригинала при условии</w:t>
      </w:r>
      <w:r>
        <w:rPr>
          <w:rFonts w:ascii="Times New Roman" w:hAnsi="Times New Roman" w:cs="Times New Roman"/>
          <w:b w:val="0"/>
        </w:rPr>
        <w:t xml:space="preserve">, что к этим документам будут приложены комментарии с переводом этих сумм в российские рубли исходя из официального курса валюты, установленного Центральным банком Российской Федерации, с указанием такового курса и даты его установления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bookmarkEnd w:id="117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Цена Заявки фиксир</w:t>
      </w:r>
      <w:r>
        <w:rPr>
          <w:rFonts w:ascii="Times New Roman" w:hAnsi="Times New Roman" w:cs="Times New Roman"/>
          <w:b w:val="0"/>
        </w:rPr>
        <w:t xml:space="preserve">уется в российских рублях (если иное не установлено в документации о закупке) и не подлежит изменению при изменении официального курса валюты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18" w:name="_Toc126935835"/>
      <w:r/>
      <w:bookmarkStart w:id="119" w:name="_Toc132974750"/>
      <w:r/>
      <w:bookmarkStart w:id="120" w:name="_Toc243045051"/>
      <w:r>
        <w:rPr>
          <w:sz w:val="24"/>
          <w:szCs w:val="24"/>
        </w:rPr>
        <w:t xml:space="preserve">Требования к составу заявки на участие в закупке</w:t>
      </w:r>
      <w:bookmarkEnd w:id="100"/>
      <w:r/>
      <w:bookmarkEnd w:id="101"/>
      <w:r/>
      <w:bookmarkEnd w:id="102"/>
      <w:r/>
      <w:bookmarkEnd w:id="103"/>
      <w:r/>
      <w:bookmarkEnd w:id="118"/>
      <w:r/>
      <w:bookmarkEnd w:id="119"/>
      <w:r/>
      <w:bookmarkEnd w:id="12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21" w:name="_Ref166243143"/>
      <w:r>
        <w:rPr>
          <w:rFonts w:ascii="Times New Roman" w:hAnsi="Times New Roman" w:cs="Times New Roman"/>
          <w:b w:val="0"/>
          <w:bCs w:val="0"/>
        </w:rPr>
        <w:t xml:space="preserve">Заявка участника на участие в закупке должна содержать сведения</w:t>
      </w:r>
      <w:r>
        <w:rPr>
          <w:rFonts w:ascii="Times New Roman" w:hAnsi="Times New Roman" w:cs="Times New Roman"/>
          <w:b w:val="0"/>
          <w:bCs w:val="0"/>
        </w:rPr>
        <w:t xml:space="preserve"> и документы, указанные в </w:t>
      </w:r>
      <w:r>
        <w:rPr>
          <w:rFonts w:ascii="Times New Roman" w:hAnsi="Times New Roman" w:cs="Times New Roman"/>
          <w:b w:val="0"/>
        </w:rPr>
        <w:t xml:space="preserve">пунктах 10, 12, 14 части II «ИНФОРМАЦИОННАЯ КАРТА </w:t>
      </w:r>
      <w:r>
        <w:rPr>
          <w:rFonts w:ascii="Times New Roman" w:hAnsi="Times New Roman" w:cs="Times New Roman"/>
          <w:b w:val="0"/>
          <w:bCs w:val="0"/>
        </w:rPr>
        <w:t xml:space="preserve">ЗАКУПКИ</w:t>
      </w:r>
      <w:r>
        <w:rPr>
          <w:rFonts w:ascii="Times New Roman" w:hAnsi="Times New Roman" w:cs="Times New Roman"/>
          <w:b w:val="0"/>
        </w:rPr>
        <w:t xml:space="preserve">»</w:t>
      </w:r>
      <w:r>
        <w:rPr>
          <w:rFonts w:ascii="Times New Roman" w:hAnsi="Times New Roman" w:cs="Times New Roman"/>
          <w:b w:val="0"/>
          <w:bCs w:val="0"/>
        </w:rPr>
        <w:t xml:space="preserve">:</w:t>
      </w:r>
      <w:bookmarkEnd w:id="121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22" w:name="_Ref166316209"/>
      <w:r>
        <w:rPr>
          <w:rFonts w:ascii="Times New Roman" w:hAnsi="Times New Roman" w:cs="Times New Roman"/>
          <w:b w:val="0"/>
          <w:bCs w:val="0"/>
        </w:rPr>
        <w:t xml:space="preserve">В случае неполного представления документов, перечисленных в пунктах </w:t>
      </w:r>
      <w:r>
        <w:rPr>
          <w:rFonts w:ascii="Times New Roman" w:hAnsi="Times New Roman" w:cs="Times New Roman"/>
          <w:b w:val="0"/>
        </w:rPr>
        <w:t xml:space="preserve">10, 12, 14 </w:t>
      </w:r>
      <w:r>
        <w:rPr>
          <w:rFonts w:ascii="Times New Roman" w:hAnsi="Times New Roman" w:cs="Times New Roman"/>
          <w:b w:val="0"/>
          <w:bCs w:val="0"/>
        </w:rPr>
        <w:t xml:space="preserve">части II «ИНФОРМАЦИОННАЯ КАРТА ЗАКУПКИ» Закупочная комиссия отклоняет заявку, поданную на </w:t>
      </w:r>
      <w:r>
        <w:rPr>
          <w:rFonts w:ascii="Times New Roman" w:hAnsi="Times New Roman" w:cs="Times New Roman"/>
          <w:b w:val="0"/>
          <w:bCs w:val="0"/>
        </w:rPr>
        <w:t xml:space="preserve">участие в закупке.</w:t>
      </w:r>
      <w:bookmarkEnd w:id="122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случае, если в закупочной процедуре принимает участие объединение (группа лиц</w:t>
      </w:r>
      <w:r>
        <w:rPr>
          <w:rFonts w:ascii="Times New Roman" w:hAnsi="Times New Roman" w:cs="Times New Roman"/>
          <w:b w:val="0"/>
          <w:bCs w:val="0"/>
        </w:rPr>
        <w:t xml:space="preserve">), выступающих на стороне одного участника закупки (далее - коллективный участник), в составе заявки такого участника должно быть представлено соглашение, соответствующее нормам Гражданского кодекса Российской Федерации, и отвечающее следующим требованиям: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в соглашении должны быть четко определены права и обязанности сторон как в рамках участия в закупочной процедуре, так и в рамках исполнения договора, заключаемого по ее результатам;</w:t>
      </w:r>
      <w:r>
        <w:rPr>
          <w:bCs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в соглашении должно быть приведено распределение объемов, стоимости и сро</w:t>
      </w:r>
      <w:r>
        <w:rPr>
          <w:bCs/>
        </w:rPr>
        <w:t xml:space="preserve">ков выполнения работ/услуг/поставок между членами коллективного участника;</w:t>
      </w:r>
      <w:r>
        <w:rPr>
          <w:bCs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в соглашении должен быть определен лидер коллективного участника, который в дальнейшем представляет интересы каждого члена коллективного участника во взаимоотношениях с заказчиком;</w:t>
      </w:r>
      <w:r>
        <w:rPr>
          <w:bCs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в соглашении должна быть установлена субсидиарная ответственность каждого члена коллективного участника по обязательствам, связанным с участием в закупочной процедуре, и солидарная ответственность за своевременное и полное исполнение договора;</w:t>
      </w:r>
      <w:r>
        <w:rPr>
          <w:bCs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соглашением </w:t>
      </w:r>
      <w:r>
        <w:rPr>
          <w:bCs/>
        </w:rPr>
        <w:t xml:space="preserve">должно быть предусмотрено, что все операции по выполнению договора в целом, включая платежи, совершаются исключительно с лидером, однако, по желанию заказчика или по его инициативе, данная схема может быть изменена;</w:t>
      </w:r>
      <w:r>
        <w:rPr>
          <w:bCs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в соглашении должно быть предусмотрено, </w:t>
      </w:r>
      <w:r>
        <w:rPr>
          <w:bCs/>
        </w:rPr>
        <w:t xml:space="preserve">что подписание договора по результатам закупочной процедуры осуществляет лидер от лица коллективного участника;</w:t>
      </w:r>
      <w:r>
        <w:rPr>
          <w:bCs/>
        </w:rPr>
      </w:r>
    </w:p>
    <w:p>
      <w:pPr>
        <w:pStyle w:val="1495"/>
        <w:numPr>
          <w:ilvl w:val="0"/>
          <w:numId w:val="35"/>
        </w:numPr>
        <w:ind w:left="0" w:firstLine="567"/>
        <w:jc w:val="both"/>
        <w:rPr>
          <w:bCs/>
        </w:rPr>
      </w:pPr>
      <w:r>
        <w:rPr>
          <w:bCs/>
        </w:rPr>
        <w:t xml:space="preserve">срок действия соглашения должен быть не менее, чем срок действия договора.</w:t>
      </w:r>
      <w:r>
        <w:rPr>
          <w:bCs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случае, если в закупочной процедуре принимает участие коллективный </w:t>
      </w:r>
      <w:r>
        <w:rPr>
          <w:rFonts w:ascii="Times New Roman" w:hAnsi="Times New Roman" w:cs="Times New Roman"/>
          <w:b w:val="0"/>
          <w:bCs w:val="0"/>
        </w:rPr>
        <w:t xml:space="preserve">участник такой участник должен подготовить заявку на участие в закупке с учетом следующих дополнительных требований: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13"/>
        </w:numPr>
        <w:ind w:left="0" w:firstLine="567"/>
        <w:jc w:val="both"/>
      </w:pPr>
      <w:r>
        <w:t xml:space="preserve">заявка должна включать документы, подтверждающие соответствие коллективного участника установленным требованиям, с учетом требований пункта</w:t>
      </w:r>
      <w:r>
        <w:t xml:space="preserve"> 1.4.5 раздела </w:t>
      </w:r>
      <w:r>
        <w:rPr>
          <w:lang w:val="en-US"/>
        </w:rPr>
        <w:t xml:space="preserve">I</w:t>
      </w:r>
      <w:r>
        <w:t xml:space="preserve"> «ОБЩИЕ УСЛОВИЯ ПРОВЕДЕНИЯ ЗАКУПКИ» настоящей документации;</w:t>
      </w:r>
      <w:r/>
    </w:p>
    <w:p>
      <w:pPr>
        <w:pStyle w:val="1495"/>
        <w:numPr>
          <w:ilvl w:val="0"/>
          <w:numId w:val="13"/>
        </w:numPr>
        <w:ind w:left="0" w:firstLine="567"/>
        <w:jc w:val="both"/>
      </w:pPr>
      <w:r>
        <w:t xml:space="preserve">заявка подготавливается и подается лидером от своего имени со ссылкой на то, что он представляет интересы коллективного участника.</w:t>
      </w:r>
      <w:r/>
    </w:p>
    <w:p>
      <w:pPr>
        <w:pStyle w:val="1495"/>
        <w:ind w:left="567"/>
        <w:jc w:val="both"/>
      </w:pPr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23" w:name="_Toc123405472"/>
      <w:r/>
      <w:bookmarkStart w:id="124" w:name="_Toc126935836"/>
      <w:r/>
      <w:bookmarkStart w:id="125" w:name="_Toc132974751"/>
      <w:r/>
      <w:bookmarkStart w:id="126" w:name="_Toc123405471"/>
      <w:r/>
      <w:bookmarkStart w:id="127" w:name="_Toc286523204"/>
      <w:r/>
      <w:bookmarkStart w:id="128" w:name="_Toc243045052"/>
      <w:r>
        <w:rPr>
          <w:sz w:val="24"/>
          <w:szCs w:val="24"/>
        </w:rPr>
        <w:t xml:space="preserve">Требования к описанию </w:t>
      </w:r>
      <w:bookmarkEnd w:id="123"/>
      <w:r>
        <w:rPr>
          <w:sz w:val="24"/>
          <w:szCs w:val="24"/>
        </w:rPr>
        <w:t xml:space="preserve">предложения участника заку</w:t>
      </w:r>
      <w:r>
        <w:rPr>
          <w:sz w:val="24"/>
          <w:szCs w:val="24"/>
        </w:rPr>
        <w:t xml:space="preserve">пки</w:t>
      </w:r>
      <w:bookmarkEnd w:id="124"/>
      <w:r/>
      <w:bookmarkEnd w:id="125"/>
      <w:r/>
      <w:bookmarkEnd w:id="128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29" w:name="_Ref166314630"/>
      <w:r/>
      <w:bookmarkStart w:id="130" w:name="_Ref11560130"/>
      <w:r/>
      <w:bookmarkEnd w:id="126"/>
      <w:r/>
      <w:bookmarkEnd w:id="127"/>
      <w:r>
        <w:rPr>
          <w:rFonts w:ascii="Times New Roman" w:hAnsi="Times New Roman" w:cs="Times New Roman"/>
          <w:b w:val="0"/>
          <w:bCs w:val="0"/>
        </w:rPr>
        <w:t xml:space="preserve">Цена договора, предлагаемая участником закупки, не может превышать начальную (максимальную) цену договора, указанную в извещении закупке и в пункте 5 части II «ИНФОРМАЦИОННАЯ КАРТА ЗАКУПКИ»</w:t>
      </w:r>
      <w:bookmarkEnd w:id="129"/>
      <w:r>
        <w:rPr>
          <w:rFonts w:ascii="Times New Roman" w:hAnsi="Times New Roman" w:cs="Times New Roman"/>
          <w:b w:val="0"/>
          <w:bCs w:val="0"/>
        </w:rPr>
        <w:t xml:space="preserve">.</w:t>
      </w:r>
      <w:bookmarkStart w:id="131" w:name="_Ref126085783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установления в документации о закупке в составе нача</w:t>
      </w:r>
      <w:r>
        <w:rPr>
          <w:rFonts w:ascii="Times New Roman" w:hAnsi="Times New Roman" w:cs="Times New Roman"/>
          <w:b w:val="0"/>
          <w:bCs w:val="0"/>
        </w:rPr>
        <w:t xml:space="preserve">льной (максимальной) цены договора (НМЦ договора) максимальной стоимости единицы продукции (единичных расценок), либо указания в составе НМЦ договора предельных значений отдельных стоимостных позиций (например, указания отдельно стоимости </w:t>
      </w:r>
      <w:r>
        <w:rPr>
          <w:rFonts w:ascii="Times New Roman" w:hAnsi="Times New Roman" w:cs="Times New Roman"/>
          <w:b w:val="0"/>
          <w:bCs w:val="0"/>
        </w:rPr>
        <w:t xml:space="preserve">поставки оборудов</w:t>
      </w:r>
      <w:r>
        <w:rPr>
          <w:rFonts w:ascii="Times New Roman" w:hAnsi="Times New Roman" w:cs="Times New Roman"/>
          <w:b w:val="0"/>
          <w:bCs w:val="0"/>
        </w:rPr>
        <w:t xml:space="preserve">ания и стоимости его монтажа, видов/этапов работ, установления стоимостей отдельных договоров, если по результатам закупки будет заключено несколько договоров и т.п.) стоимость предложения участника не должна превышать установленные единичные расценки и/ил</w:t>
      </w:r>
      <w:r>
        <w:rPr>
          <w:rFonts w:ascii="Times New Roman" w:hAnsi="Times New Roman" w:cs="Times New Roman"/>
          <w:b w:val="0"/>
          <w:bCs w:val="0"/>
        </w:rPr>
        <w:t xml:space="preserve">и предельные значения отдельных стоимостных позиций, если иное не установлено документацией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Цена договора, предлагаемая участником закупки, должна включать в себя: все затраты, накладные расходы, налоги, пошлины, таможенные платежи, страхование </w:t>
      </w:r>
      <w:r>
        <w:rPr>
          <w:rFonts w:ascii="Times New Roman" w:hAnsi="Times New Roman" w:cs="Times New Roman"/>
          <w:b w:val="0"/>
          <w:bCs w:val="0"/>
        </w:rPr>
        <w:t xml:space="preserve">и прочие сборы, которые поставщик (подрядчик, исполнитель) договора должен оплачивать в соответствии с условиями договора или на иных основаниях, если иное не установлено документацией о закупке.</w:t>
      </w:r>
      <w:bookmarkStart w:id="132" w:name="_Toc354408413"/>
      <w:r/>
      <w:bookmarkEnd w:id="131"/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Описание участниками закупки поставляемого товара, который </w:t>
      </w:r>
      <w:r>
        <w:rPr>
          <w:rFonts w:ascii="Times New Roman" w:hAnsi="Times New Roman" w:cs="Times New Roman"/>
          <w:b w:val="0"/>
          <w:bCs w:val="0"/>
        </w:rPr>
        <w:t xml:space="preserve">является предметом закупки, его функциональных характеристик (потребительских свойств), его количественных и качественных характеристик, описание выполняемой работы, оказываемой услуги, которые являются предметом закупки, их количественных и качественных х</w:t>
      </w:r>
      <w:r>
        <w:rPr>
          <w:rFonts w:ascii="Times New Roman" w:hAnsi="Times New Roman" w:cs="Times New Roman"/>
          <w:b w:val="0"/>
          <w:bCs w:val="0"/>
        </w:rPr>
        <w:t xml:space="preserve">арактеристик осуществляется участником закупки в соответствии с требованиями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«ТЕХНИЧЕСКАЯ ЧАСТЬ» </w:t>
      </w:r>
      <w:r>
        <w:rPr>
          <w:rFonts w:ascii="Times New Roman" w:hAnsi="Times New Roman" w:cs="Times New Roman"/>
          <w:b w:val="0"/>
          <w:bCs w:val="0"/>
        </w:rPr>
        <w:t xml:space="preserve">по формами, установленными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III</w:t>
      </w:r>
      <w:r>
        <w:rPr>
          <w:rFonts w:ascii="Times New Roman" w:hAnsi="Times New Roman" w:cs="Times New Roman"/>
          <w:b w:val="0"/>
          <w:bCs w:val="0"/>
        </w:rPr>
        <w:t xml:space="preserve"> «ОБРАЗЦЫ ФОРМ ДЛЯ ЗАПОЛНЕНИЯ УЧАСТНИКАМИ ЗАКУПКИ»</w:t>
      </w:r>
      <w:r>
        <w:rPr>
          <w:rFonts w:ascii="Times New Roman" w:hAnsi="Times New Roman" w:cs="Times New Roman"/>
          <w:b w:val="0"/>
        </w:rPr>
        <w:t xml:space="preserve">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должен принять во внимание, что, если иное не установлено документацией о закупке ссылки в документации о закупке на конкретную марку продукции, производителя, носят лишь рекомендательный, а не обязательный характер. Участник закупки может</w:t>
      </w:r>
      <w:r>
        <w:rPr>
          <w:rFonts w:ascii="Times New Roman" w:hAnsi="Times New Roman" w:cs="Times New Roman"/>
          <w:b w:val="0"/>
          <w:bCs w:val="0"/>
        </w:rPr>
        <w:t xml:space="preserve"> представить в своей заявке иные марки продукции, при условии, что произведенные замены совместимы между собой, по существу равноценны (эквивалентны) или превосходят по качеству требуемую продукцию, указанную в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V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«ТЕХНИЧЕСКАЯ ЧАСТЬ»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При описании про</w:t>
      </w:r>
      <w:r>
        <w:rPr>
          <w:rFonts w:ascii="Times New Roman" w:hAnsi="Times New Roman" w:cs="Times New Roman"/>
          <w:b w:val="0"/>
        </w:rPr>
        <w:t xml:space="preserve">дукции участник закупки обязан подтвердить соответствие поставляемой продукции требованиям документации о закупке в отношении всех показателей, которые в ней установлены. При наличии в Технической части требований обеспечения совместимости предлагаемого к </w:t>
      </w:r>
      <w:r>
        <w:rPr>
          <w:rFonts w:ascii="Times New Roman" w:hAnsi="Times New Roman" w:cs="Times New Roman"/>
          <w:b w:val="0"/>
        </w:rPr>
        <w:t xml:space="preserve">поставке оборудования и необходимости взаимодействия с оборудованием, используемого заказчиком,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</w:t>
      </w:r>
      <w:r>
        <w:rPr>
          <w:rFonts w:ascii="Times New Roman" w:hAnsi="Times New Roman" w:cs="Times New Roman"/>
          <w:b w:val="0"/>
        </w:rPr>
        <w:t xml:space="preserve">ной стандартизации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участником закупки должны указываться точные, конкретные, однозначно трактуемые и не допускающие двусмысленного толкования показатели, за исключением случаев, когда допускается представление описания в ином порядк</w:t>
      </w:r>
      <w:r>
        <w:rPr>
          <w:rFonts w:ascii="Times New Roman" w:hAnsi="Times New Roman" w:cs="Times New Roman"/>
          <w:b w:val="0"/>
          <w:bCs w:val="0"/>
        </w:rPr>
        <w:t xml:space="preserve">е в соответствии с требованиями к продукции, установленными в части V «ТЕХНИЧЕСКАЯ ЧАСТЬ».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в части V «ТЕХНИЧЕСКАЯ ЧАСТЬ» указаны товарные знаки, знаки обслуживания, патенты, полезные модели, промышленные образцы, наименования мест происхождения товара или наименования производителей, сопровождаемые словами «или эквивалент», участни</w:t>
      </w:r>
      <w:r>
        <w:rPr>
          <w:rFonts w:ascii="Times New Roman" w:hAnsi="Times New Roman" w:cs="Times New Roman"/>
          <w:b w:val="0"/>
          <w:bCs w:val="0"/>
        </w:rPr>
        <w:t xml:space="preserve">к процедуры закупки при описании продукции обязан подтвердить соответствие предлагаемой продукции показателям эквивалентности, установленным в документации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описании продукции участник процедуры закупки должен использовать общеизвестные (стан</w:t>
      </w:r>
      <w:r>
        <w:rPr>
          <w:rFonts w:ascii="Times New Roman" w:hAnsi="Times New Roman" w:cs="Times New Roman"/>
          <w:b w:val="0"/>
          <w:bCs w:val="0"/>
        </w:rPr>
        <w:t xml:space="preserve">дартные) показатели, термины и сокращения в соответствии с законодательством и требованиями настоящей документации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33" w:name="_Ref119429503"/>
      <w:r/>
      <w:bookmarkStart w:id="134" w:name="_Toc123405479"/>
      <w:r/>
      <w:bookmarkStart w:id="135" w:name="_Toc38554189"/>
      <w:r/>
      <w:bookmarkStart w:id="136" w:name="_Toc126935837"/>
      <w:r/>
      <w:bookmarkStart w:id="137" w:name="_Toc132974752"/>
      <w:r/>
      <w:bookmarkStart w:id="138" w:name="_Toc123405474"/>
      <w:r/>
      <w:bookmarkStart w:id="139" w:name="_Toc166101209"/>
      <w:r/>
      <w:bookmarkStart w:id="140" w:name="_Toc243045053"/>
      <w:r/>
      <w:bookmarkEnd w:id="130"/>
      <w:r/>
      <w:bookmarkEnd w:id="132"/>
      <w:r>
        <w:rPr>
          <w:sz w:val="24"/>
          <w:szCs w:val="24"/>
        </w:rPr>
        <w:t xml:space="preserve">Требования к обеспечению заявок на участие в закупке</w:t>
      </w:r>
      <w:bookmarkEnd w:id="133"/>
      <w:r/>
      <w:bookmarkEnd w:id="134"/>
      <w:r/>
      <w:bookmarkEnd w:id="135"/>
      <w:r/>
      <w:bookmarkEnd w:id="136"/>
      <w:r/>
      <w:bookmarkEnd w:id="137"/>
      <w:r/>
      <w:bookmarkEnd w:id="140"/>
      <w:r/>
      <w:r>
        <w:rPr>
          <w:sz w:val="24"/>
          <w:szCs w:val="24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если размер начальной (максимальной) цены закупки превышает 5 (пять</w:t>
      </w:r>
      <w:r>
        <w:rPr>
          <w:rFonts w:ascii="Times New Roman" w:hAnsi="Times New Roman" w:cs="Times New Roman"/>
          <w:b w:val="0"/>
          <w:bCs w:val="0"/>
        </w:rPr>
        <w:t xml:space="preserve">) миллионов рублей с НДС Заказчик вправе установить в документации о закупке требование к обеспечению заявок на участие в закупке в размере не более 5 (пяти) процентов от начальной (максимальной) цены договора с НДС. В случае если размер начальной (максима</w:t>
      </w:r>
      <w:r>
        <w:rPr>
          <w:rFonts w:ascii="Times New Roman" w:hAnsi="Times New Roman" w:cs="Times New Roman"/>
          <w:b w:val="0"/>
          <w:bCs w:val="0"/>
        </w:rPr>
        <w:t xml:space="preserve">льной) цены договора превышает 1 (один) миллиард рублей с НДС, </w:t>
      </w:r>
      <w:r>
        <w:rPr>
          <w:rFonts w:ascii="Times New Roman" w:hAnsi="Times New Roman" w:cs="Times New Roman"/>
          <w:b w:val="0"/>
          <w:bCs w:val="0"/>
        </w:rPr>
        <w:t xml:space="preserve">обеспечение заявок на участие в такой закупке не может превышать 0,5 (ноль целых пять десятых) процента начальной (максимальной) цены договора с НДС.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 xml:space="preserve">Обеспечение заявки может быть представлено </w:t>
      </w:r>
      <w:r>
        <w:rPr>
          <w:rFonts w:ascii="Times New Roman" w:hAnsi="Times New Roman" w:cs="Times New Roman"/>
          <w:b w:val="0"/>
          <w:bCs w:val="0"/>
        </w:rPr>
        <w:t xml:space="preserve">в виде внесения денежных средств или в виде независимой гарантии. Выбор способа обеспечения заявки на участие в закупке осуществляется участником закупки самостоятельно. Предоставление обеспечения иным, не указанным в настоящей документации о закупке спосо</w:t>
      </w:r>
      <w:r>
        <w:rPr>
          <w:rFonts w:ascii="Times New Roman" w:hAnsi="Times New Roman" w:cs="Times New Roman"/>
          <w:b w:val="0"/>
          <w:bCs w:val="0"/>
        </w:rPr>
        <w:t xml:space="preserve">бом не допускается.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Информация об установлении требования о предоставлении обеспечения и размер такого обеспечения указывается в пункте 16 раздела II «ИНФОРМАЦИОННАЯ КАРТА ЗАКУПКИ».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средства вносятся участником закупки на Лицевой счет участника з</w:t>
      </w:r>
      <w:r>
        <w:rPr>
          <w:rFonts w:ascii="Times New Roman" w:hAnsi="Times New Roman" w:cs="Times New Roman"/>
          <w:b w:val="0"/>
          <w:bCs w:val="0"/>
        </w:rPr>
        <w:t xml:space="preserve">акупки, открытый оператором электронной площадки в соответствии с правилами, установленными Регламентом работы ЭП.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 Порядок и случаи блокирования денежных средств, внесенных участниками закупки в целях обеспечения заявок на участие в закупке, и прекращения</w:t>
      </w:r>
      <w:r>
        <w:rPr>
          <w:rFonts w:ascii="Times New Roman" w:hAnsi="Times New Roman" w:cs="Times New Roman"/>
          <w:b w:val="0"/>
          <w:bCs w:val="0"/>
        </w:rPr>
        <w:t xml:space="preserve"> данного блокирования установлены действующим законодательством о закупках отдельных видов юридических лиц, а также Регламентом работы ЭП.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41" w:name="_Ref535415072"/>
      <w:r>
        <w:rPr>
          <w:rFonts w:ascii="Times New Roman" w:hAnsi="Times New Roman" w:cs="Times New Roman"/>
          <w:b w:val="0"/>
          <w:bCs w:val="0"/>
        </w:rPr>
        <w:t xml:space="preserve">Возврат участнику закупки денежных средств, внесенных в качестве обеспечения заявки, не производится, а независимая </w:t>
      </w:r>
      <w:r>
        <w:rPr>
          <w:rFonts w:ascii="Times New Roman" w:hAnsi="Times New Roman" w:cs="Times New Roman"/>
          <w:b w:val="0"/>
          <w:bCs w:val="0"/>
        </w:rPr>
        <w:t xml:space="preserve">гарантия предъявляется гаранту для выплаты суммы обеспечения исполнения обязательств в следующих случаях:</w:t>
      </w:r>
      <w:bookmarkEnd w:id="141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36"/>
        </w:numPr>
        <w:ind w:left="0" w:firstLine="567"/>
        <w:jc w:val="both"/>
        <w:tabs>
          <w:tab w:val="left" w:pos="1418" w:leader="none"/>
        </w:tabs>
        <w:rPr>
          <w:rFonts w:eastAsia="MS Mincho"/>
          <w:bCs/>
        </w:rPr>
      </w:pPr>
      <w:r>
        <w:t xml:space="preserve">непредставления или предоставления с нарушением условий, установленных настоящей документацией о закупке, до заключения договора заказчику обеспечения</w:t>
      </w:r>
      <w:r>
        <w:t xml:space="preserve"> исполнения договора (в случае, если в извещении и закупке и/или в документации о закупке установлены требования обеспечения исполнения договора и срок его предоставления до заключения договора);</w:t>
      </w:r>
      <w:r>
        <w:rPr>
          <w:rFonts w:eastAsia="MS Mincho"/>
          <w:bCs/>
        </w:rPr>
      </w:r>
    </w:p>
    <w:p>
      <w:pPr>
        <w:pStyle w:val="1495"/>
        <w:numPr>
          <w:ilvl w:val="0"/>
          <w:numId w:val="36"/>
        </w:numPr>
        <w:ind w:left="0" w:firstLine="567"/>
        <w:jc w:val="both"/>
        <w:tabs>
          <w:tab w:val="left" w:pos="1418" w:leader="none"/>
        </w:tabs>
        <w:rPr>
          <w:rFonts w:eastAsia="MS Mincho"/>
          <w:bCs/>
        </w:rPr>
      </w:pPr>
      <w:r>
        <w:t xml:space="preserve">уклонения или отказа участника закупки от заключения договор</w:t>
      </w:r>
      <w:r>
        <w:t xml:space="preserve">а</w:t>
      </w:r>
      <w:r>
        <w:rPr>
          <w:spacing w:val="-2"/>
        </w:rPr>
        <w:t xml:space="preserve">.</w:t>
      </w:r>
      <w:r>
        <w:rPr>
          <w:rFonts w:eastAsia="MS Mincho"/>
          <w:bCs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Денежные средства, внесенные на Лицевой счет участника закупки в качестве обеспечения заявок на участие в закупке, в случаях, установленных пунктом </w:t>
      </w:r>
      <w:r>
        <w:rPr>
          <w:rFonts w:ascii="Times New Roman" w:hAnsi="Times New Roman" w:cs="Times New Roman"/>
          <w:b w:val="0"/>
          <w:bCs w:val="0"/>
        </w:rPr>
        <w:fldChar w:fldCharType="begin"/>
      </w:r>
      <w:r>
        <w:rPr>
          <w:rFonts w:ascii="Times New Roman" w:hAnsi="Times New Roman" w:cs="Times New Roman"/>
          <w:b w:val="0"/>
          <w:bCs w:val="0"/>
        </w:rPr>
        <w:instrText xml:space="preserve"> REF _Ref535415072 \r \h  \* MERGEFORMAT </w:instrText>
      </w:r>
      <w:r>
        <w:rPr>
          <w:rFonts w:ascii="Times New Roman" w:hAnsi="Times New Roman" w:cs="Times New Roman"/>
          <w:b w:val="0"/>
          <w:bCs w:val="0"/>
        </w:rPr>
        <w:fldChar w:fldCharType="separate"/>
      </w:r>
      <w:r>
        <w:rPr>
          <w:rFonts w:ascii="Times New Roman" w:hAnsi="Times New Roman" w:cs="Times New Roman"/>
          <w:b w:val="0"/>
          <w:bCs w:val="0"/>
        </w:rPr>
        <w:t xml:space="preserve">3.6.5</w:t>
      </w:r>
      <w:r>
        <w:rPr>
          <w:rFonts w:ascii="Times New Roman" w:hAnsi="Times New Roman" w:cs="Times New Roman"/>
          <w:b w:val="0"/>
          <w:bCs w:val="0"/>
        </w:rPr>
        <w:fldChar w:fldCharType="end"/>
      </w:r>
      <w:r>
        <w:rPr>
          <w:rFonts w:ascii="Times New Roman" w:hAnsi="Times New Roman" w:cs="Times New Roman"/>
          <w:b w:val="0"/>
          <w:bCs w:val="0"/>
        </w:rPr>
        <w:t xml:space="preserve"> настоящей документации, перечисляются на счет Заказчика по реквизитам, указанным в пункте 17 раздела II «ИНФОРМАЦИОННАЯ КАРТА ЗАКУПКИ».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/>
      <w:bookmarkStart w:id="142" w:name="_Ref536100152"/>
      <w:r>
        <w:rPr>
          <w:rFonts w:ascii="Times New Roman" w:hAnsi="Times New Roman" w:cs="Times New Roman"/>
          <w:b w:val="0"/>
          <w:bCs w:val="0"/>
        </w:rPr>
        <w:t xml:space="preserve">При выборе участником закупки способа обеспечения заявки в виде независимой гарантии участник должен предостав</w:t>
      </w:r>
      <w:r>
        <w:rPr>
          <w:rFonts w:ascii="Times New Roman" w:hAnsi="Times New Roman" w:cs="Times New Roman"/>
          <w:b w:val="0"/>
          <w:bCs w:val="0"/>
        </w:rPr>
        <w:t xml:space="preserve">ить независимую гарантию по форме Закупочной документации, составленную с учетом следующих условий:</w:t>
      </w:r>
      <w:bookmarkEnd w:id="142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17"/>
        </w:numPr>
        <w:ind w:left="0" w:firstLine="567"/>
        <w:jc w:val="both"/>
      </w:pPr>
      <w:r>
        <w:t xml:space="preserve">бенефициаром в независимой гарантии должно быть указано Публичное акционерное общество "Федеральная сетевая компания - Россети" (ИНН 4716016979). Актуальная</w:t>
      </w:r>
      <w:r>
        <w:t xml:space="preserve"> информация о месте нахождения бенефициара находится в открытом доступе на сайте https://egrul.nalog.ru.</w:t>
      </w:r>
      <w:r/>
    </w:p>
    <w:p>
      <w:pPr>
        <w:pStyle w:val="1495"/>
        <w:numPr>
          <w:ilvl w:val="0"/>
          <w:numId w:val="17"/>
        </w:numPr>
        <w:ind w:left="0" w:firstLine="567"/>
        <w:jc w:val="both"/>
      </w:pPr>
      <w:r>
        <w:t xml:space="preserve">независимая гарантия должна быть безотзывной.</w:t>
      </w:r>
      <w:r/>
    </w:p>
    <w:p>
      <w:pPr>
        <w:pStyle w:val="1495"/>
        <w:numPr>
          <w:ilvl w:val="0"/>
          <w:numId w:val="17"/>
        </w:numPr>
        <w:ind w:left="0" w:firstLine="567"/>
        <w:jc w:val="both"/>
      </w:pPr>
      <w:r>
        <w:t xml:space="preserve">срок действия независимой гарантии должен составлять 100 календарных дней</w:t>
      </w:r>
      <w:r>
        <w:rPr>
          <w:vertAlign w:val="superscript"/>
        </w:rPr>
        <w:footnoteReference w:id="3"/>
      </w:r>
      <w:r>
        <w:t xml:space="preserve"> со дня окончания срока подачи заявок, установленного в первоначальном извещении о закупке. </w:t>
      </w:r>
      <w:r/>
    </w:p>
    <w:p>
      <w:pPr>
        <w:pStyle w:val="1495"/>
        <w:numPr>
          <w:ilvl w:val="0"/>
          <w:numId w:val="17"/>
        </w:numPr>
        <w:ind w:left="0" w:firstLine="567"/>
        <w:jc w:val="both"/>
      </w:pPr>
      <w:r>
        <w:t xml:space="preserve">допускается предоставление независимых гарантий, выданных в письменной форме на бумажном носителе или в форме электронного документа, подписанного усиленной квалиф</w:t>
      </w:r>
      <w:r>
        <w:t xml:space="preserve">ицированной электронной подписью (УКЭП).</w:t>
      </w:r>
      <w:r/>
    </w:p>
    <w:p>
      <w:pPr>
        <w:pStyle w:val="1495"/>
        <w:numPr>
          <w:ilvl w:val="0"/>
          <w:numId w:val="17"/>
        </w:numPr>
        <w:ind w:left="0" w:firstLine="567"/>
        <w:jc w:val="both"/>
      </w:pPr>
      <w:r>
        <w:t xml:space="preserve">независимая гарантия должна быть подписана лицом, имеющим право, в соответствии с законодательством Российской Федерации, действовать от имени Гаранта без доверенности, что должно быть подтверждено соответствующими </w:t>
      </w:r>
      <w:r>
        <w:t xml:space="preserve">документами (приказ, протокол и т.п.), или надлежащим образом уполномоченным им лицом на основании доверенности. </w:t>
      </w:r>
      <w:r/>
    </w:p>
    <w:p>
      <w:pPr>
        <w:pStyle w:val="1495"/>
        <w:numPr>
          <w:ilvl w:val="3"/>
          <w:numId w:val="39"/>
        </w:numPr>
        <w:ind w:left="0" w:firstLine="567"/>
        <w:jc w:val="both"/>
      </w:pPr>
      <w:r>
        <w:t xml:space="preserve">Вместе с независимой гарантией участник закупки в составе своей заявки предоставляет следующие документы:</w:t>
      </w:r>
      <w:r/>
    </w:p>
    <w:p>
      <w:pPr>
        <w:numPr>
          <w:ilvl w:val="0"/>
          <w:numId w:val="18"/>
        </w:numPr>
        <w:ind w:left="0" w:firstLine="567"/>
        <w:spacing w:after="0"/>
        <w:tabs>
          <w:tab w:val="left" w:pos="0" w:leader="none"/>
          <w:tab w:val="left" w:pos="1418" w:leader="none"/>
        </w:tabs>
      </w:pPr>
      <w:r>
        <w:t xml:space="preserve">решение (выписка из протокола) уполн</w:t>
      </w:r>
      <w:r>
        <w:t xml:space="preserve">омоченного органа управления гаранта о назначении (избрании) единоличного исполнительного органа Гаранта (копия, заверенная гарантом);</w:t>
      </w:r>
      <w:r/>
    </w:p>
    <w:p>
      <w:pPr>
        <w:numPr>
          <w:ilvl w:val="0"/>
          <w:numId w:val="18"/>
        </w:numPr>
        <w:ind w:left="0" w:firstLine="567"/>
        <w:spacing w:after="0"/>
        <w:tabs>
          <w:tab w:val="left" w:pos="0" w:leader="none"/>
          <w:tab w:val="left" w:pos="1418" w:leader="none"/>
        </w:tabs>
      </w:pPr>
      <w:r>
        <w:t xml:space="preserve">доверенность на уполномоченное лицо, действующее от имени гаранта (оригинал / нотариально заверенная копия/копия, заверен</w:t>
      </w:r>
      <w:r>
        <w:t xml:space="preserve">ная гарантом) (в случае если независимая гарантия подписана уполномоченным лицом, действующим от имени гаранта на основании доверенности). К доверенности, выданной в порядке передоверия, должна прилагаться доверенность на уполномоченное лицо, выдавшее дове</w:t>
      </w:r>
      <w:r>
        <w:t xml:space="preserve">ренность в порядке передоверия (оригинал / нотариально заверенная копия / копия, заверенная гарантом). </w:t>
      </w:r>
      <w:r/>
    </w:p>
    <w:p>
      <w:pPr>
        <w:ind w:firstLine="567"/>
        <w:spacing w:after="0"/>
        <w:tabs>
          <w:tab w:val="left" w:pos="1418" w:leader="none"/>
        </w:tabs>
        <w:rPr>
          <w:bCs/>
        </w:rPr>
      </w:pPr>
      <w:r>
        <w:t xml:space="preserve">В случае если в доверенности на право подписания независимой гарантии имеются ограничения (подписание независимой гарантии осуществляется в рамках внутр</w:t>
      </w:r>
      <w:r>
        <w:t xml:space="preserve">енних нормативных документов Гаранта, решений кредитных комитетов, структурных подразделений или должностных лиц Гаранта), необходимо представление всех поименованных в доверенности </w:t>
      </w:r>
      <w:r>
        <w:rPr>
          <w:bCs/>
        </w:rPr>
        <w:t xml:space="preserve">документов.</w:t>
      </w:r>
      <w:r>
        <w:rPr>
          <w:bCs/>
        </w:rPr>
      </w:r>
    </w:p>
    <w:p>
      <w:pPr>
        <w:ind w:firstLine="567"/>
        <w:spacing w:after="0"/>
        <w:tabs>
          <w:tab w:val="left" w:pos="0" w:leader="none"/>
          <w:tab w:val="left" w:pos="1418" w:leader="none"/>
        </w:tabs>
      </w:pPr>
      <w:r>
        <w:rPr>
          <w:bCs/>
        </w:rPr>
        <w:t xml:space="preserve">В случае отказа Гаранта от предоставления документов, указанны</w:t>
      </w:r>
      <w:r>
        <w:rPr>
          <w:bCs/>
        </w:rPr>
        <w:t xml:space="preserve">х в доверенности, необходимо представление письма-подтверждения за подписью уполномоченного лица Гаранта, чьи полномочия не ограничены необходимостью представления дополнительных документов, подтверждающее, что независимая гарантия выдана в соответствии с </w:t>
      </w:r>
      <w:r>
        <w:rPr>
          <w:bCs/>
        </w:rPr>
        <w:t xml:space="preserve">правилами и требованиями, установленными регламентами Гаранта и на основании соответствующих решений уполномоченных органов/должностных лиц Гаранта, перечисленными в содержании доверенности, с обязательным указанием реквизитов (дата, номер, наименование ор</w:t>
      </w:r>
      <w:r>
        <w:rPr>
          <w:bCs/>
        </w:rPr>
        <w:t xml:space="preserve">гана/должностного лица принявшего решение) документов, подтверждающих факт соблюдения необходимых внутренних процедур Гаранта</w:t>
      </w:r>
      <w:r>
        <w:t xml:space="preserve">.</w:t>
      </w:r>
      <w:r/>
    </w:p>
    <w:p>
      <w:pPr>
        <w:ind w:firstLine="567"/>
        <w:spacing w:after="0"/>
        <w:rPr>
          <w:b/>
          <w:bCs/>
          <w:u w:val="single"/>
        </w:rPr>
      </w:pPr>
      <w:r>
        <w:rPr>
          <w:u w:val="single"/>
        </w:rPr>
        <w:t xml:space="preserve">3.6.7.2. Для Гарантов, не находящихся под прямым или косвенным контролем Российской Федерации либо Банка России</w:t>
      </w:r>
      <w:r>
        <w:rPr>
          <w:u w:val="single"/>
          <w:vertAlign w:val="superscript"/>
        </w:rPr>
        <w:footnoteReference w:id="4"/>
      </w:r>
      <w:r>
        <w:rPr>
          <w:u w:val="single"/>
        </w:rPr>
        <w:t xml:space="preserve">, дополнительно </w:t>
      </w:r>
      <w:r>
        <w:rPr>
          <w:u w:val="single"/>
        </w:rPr>
        <w:t xml:space="preserve">представляются следующие документы:</w:t>
      </w:r>
      <w:r>
        <w:rPr>
          <w:b/>
          <w:bCs/>
          <w:u w:val="single"/>
        </w:rPr>
      </w:r>
    </w:p>
    <w:p>
      <w:pPr>
        <w:pStyle w:val="1495"/>
        <w:numPr>
          <w:ilvl w:val="0"/>
          <w:numId w:val="40"/>
        </w:numPr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форма банковской отчетности по РСБУ № 808 или № 123 (копия, заверенная банком-гарантом) или официальное письмо от банка-гаранта с указанием суммы собственных средств (капитала) банка представляется только банками-гаранта</w:t>
      </w:r>
      <w:r>
        <w:rPr>
          <w:bCs/>
        </w:rPr>
        <w:t xml:space="preserve">ми, которые не раскрывают указанные формы на официальном сайте Банка России (</w:t>
      </w:r>
      <w:hyperlink r:id="rId20" w:tooltip="http://www.cbr.ru/credit/" w:history="1">
        <w:r>
          <w:rPr>
            <w:bCs/>
          </w:rPr>
          <w:t xml:space="preserve">http://www.cbr.ru/credit/</w:t>
        </w:r>
      </w:hyperlink>
      <w:r>
        <w:rPr>
          <w:bCs/>
        </w:rPr>
        <w:t xml:space="preserve">) (данные документы/информация предоставляются по состоянию на последнюю отчетную</w:t>
      </w:r>
      <w:r>
        <w:rPr>
          <w:bCs/>
        </w:rPr>
        <w:t xml:space="preserve"> дату);</w:t>
      </w:r>
      <w:r>
        <w:rPr>
          <w:bCs/>
        </w:rPr>
      </w:r>
    </w:p>
    <w:p>
      <w:pPr>
        <w:pStyle w:val="1495"/>
        <w:numPr>
          <w:ilvl w:val="0"/>
          <w:numId w:val="40"/>
        </w:numPr>
        <w:contextualSpacing/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письмо Гаранта о не нахождении его в процессе ликвидации или банкротства, об отсутствии установленных Банком России в отношении Гаранта в индивидуальном порядке ограничений на проведение отдельных операций, выданное не ранее, чем за 30 дней до даты</w:t>
      </w:r>
      <w:r>
        <w:rPr>
          <w:bCs/>
        </w:rPr>
        <w:t xml:space="preserve"> выдачи независимой гарантии (оригинал)».</w:t>
      </w:r>
      <w:r>
        <w:rPr>
          <w:bCs/>
        </w:rPr>
      </w:r>
    </w:p>
    <w:p>
      <w:pPr>
        <w:ind w:firstLine="567"/>
      </w:pPr>
      <w:r>
        <w:t xml:space="preserve">3.6.7.3. Заказчик вправе направить запрос о подтверждении Гарантом факта выдачи независимой гарантии.</w:t>
      </w:r>
      <w:r/>
    </w:p>
    <w:p>
      <w:pPr>
        <w:ind w:firstLine="567"/>
        <w:rPr>
          <w:b/>
        </w:rPr>
      </w:pPr>
      <w:r>
        <w:t xml:space="preserve">3.6.7.4. Гарант, выдающий независимую гарантию, должен отвечать всем нижеследующим требованиям:</w:t>
      </w:r>
      <w:r>
        <w:rPr>
          <w:b/>
        </w:rPr>
      </w:r>
    </w:p>
    <w:p>
      <w:pPr>
        <w:pStyle w:val="1495"/>
        <w:numPr>
          <w:ilvl w:val="0"/>
          <w:numId w:val="40"/>
        </w:numPr>
        <w:contextualSpacing/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должен обладать действующей лицензией на банковскую деятельность, </w:t>
      </w:r>
      <w:r>
        <w:rPr>
          <w:bCs/>
        </w:rPr>
        <w:t xml:space="preserve">выданной Банком России</w:t>
      </w:r>
      <w:r>
        <w:rPr>
          <w:bCs/>
          <w:vertAlign w:val="superscript"/>
          <w:lang w:eastAsia="en-US"/>
        </w:rPr>
        <w:footnoteReference w:id="5"/>
      </w:r>
      <w:r>
        <w:rPr>
          <w:bCs/>
        </w:rPr>
        <w:t xml:space="preserve">, и в отношении данной кредитной организации не должно действовать как</w:t>
      </w:r>
      <w:r>
        <w:rPr>
          <w:bCs/>
        </w:rPr>
        <w:t xml:space="preserve">их-либо установленных в индивидуальном порядке Банком России ограничений на проведение отдельных операций</w:t>
      </w:r>
      <w:r>
        <w:rPr>
          <w:bCs/>
          <w:vertAlign w:val="superscript"/>
          <w:lang w:eastAsia="en-US"/>
        </w:rPr>
        <w:footnoteReference w:id="6"/>
      </w:r>
      <w:r>
        <w:rPr>
          <w:bCs/>
        </w:rPr>
        <w:t xml:space="preserve">;</w:t>
      </w:r>
      <w:r>
        <w:rPr>
          <w:bCs/>
        </w:rPr>
      </w:r>
    </w:p>
    <w:p>
      <w:pPr>
        <w:pStyle w:val="1495"/>
        <w:numPr>
          <w:ilvl w:val="0"/>
          <w:numId w:val="40"/>
        </w:numPr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не находится в процессе слияния, присоединения, санации (финансового оздоровления), внешнего управления, за исключением случаев, когда финансовое о</w:t>
      </w:r>
      <w:r>
        <w:rPr>
          <w:bCs/>
        </w:rPr>
        <w:t xml:space="preserve">здоровление кредитной организации осуществляется с привлечением Фонда консолидации банковского сектора, а также в случаях, когда в рамках финансового оздоровления Банком России принято решение о гарантировании непрерывности деятельности Гаранта;</w:t>
      </w:r>
      <w:r>
        <w:rPr>
          <w:bCs/>
        </w:rPr>
      </w:r>
    </w:p>
    <w:p>
      <w:pPr>
        <w:pStyle w:val="1495"/>
        <w:numPr>
          <w:ilvl w:val="0"/>
          <w:numId w:val="40"/>
        </w:numPr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не находит</w:t>
      </w:r>
      <w:r>
        <w:rPr>
          <w:bCs/>
        </w:rPr>
        <w:t xml:space="preserve">ся в процессе ликвидации или банкротства;</w:t>
      </w:r>
      <w:r>
        <w:rPr>
          <w:bCs/>
        </w:rPr>
      </w:r>
    </w:p>
    <w:p>
      <w:pPr>
        <w:pStyle w:val="1495"/>
        <w:numPr>
          <w:ilvl w:val="0"/>
          <w:numId w:val="40"/>
        </w:numPr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для Гарантов, банковская лицензия которых предполагает возможность работы с денежными средствами физических лиц - кредитная организация является участником Системы страхования вкладов</w:t>
      </w:r>
      <w:r>
        <w:rPr>
          <w:bCs/>
          <w:vertAlign w:val="superscript"/>
          <w:lang w:eastAsia="en-US"/>
        </w:rPr>
        <w:footnoteReference w:id="7"/>
      </w:r>
      <w:r>
        <w:rPr>
          <w:bCs/>
        </w:rPr>
        <w:t xml:space="preserve">;</w:t>
      </w:r>
      <w:r>
        <w:rPr>
          <w:bCs/>
        </w:rPr>
      </w:r>
    </w:p>
    <w:p>
      <w:pPr>
        <w:pStyle w:val="1495"/>
        <w:numPr>
          <w:ilvl w:val="0"/>
          <w:numId w:val="40"/>
        </w:numPr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размер собственного капитал</w:t>
      </w:r>
      <w:r>
        <w:rPr>
          <w:bCs/>
        </w:rPr>
        <w:t xml:space="preserve">а Гаранта не менее 5 млрд. рублей;</w:t>
      </w:r>
      <w:r>
        <w:rPr>
          <w:bCs/>
        </w:rPr>
      </w:r>
    </w:p>
    <w:p>
      <w:pPr>
        <w:pStyle w:val="1495"/>
        <w:numPr>
          <w:ilvl w:val="0"/>
          <w:numId w:val="40"/>
        </w:numPr>
        <w:ind w:left="0" w:firstLine="567"/>
        <w:jc w:val="both"/>
        <w:widowControl w:val="off"/>
        <w:tabs>
          <w:tab w:val="clear" w:pos="432" w:leader="none"/>
          <w:tab w:val="left" w:pos="1418" w:leader="none"/>
        </w:tabs>
        <w:rPr>
          <w:bCs/>
        </w:rPr>
      </w:pPr>
      <w:r>
        <w:rPr>
          <w:bCs/>
        </w:rPr>
        <w:t xml:space="preserve">кредитная организация входит в перечень банков, отвечающих требованиям для принятия независимых гарантий в целях налогообложения (в соответствии со статьей 74.1 Налогового кодекса РФ).</w:t>
      </w:r>
      <w:r>
        <w:rPr>
          <w:bCs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Документы, предусмотренные п. 3.6.7 </w:t>
      </w:r>
      <w:r>
        <w:rPr>
          <w:rFonts w:ascii="Times New Roman" w:hAnsi="Times New Roman" w:cs="Times New Roman"/>
          <w:b w:val="0"/>
          <w:bCs w:val="0"/>
        </w:rPr>
        <w:t xml:space="preserve">(включая пп. 3.6.7.1-3.6.7.2), могут предоставляться на бумажном носителе либо в виде электронных документов в соответствии с требованиями Федерального закона «Об электронной подписи» от 06.04.2011 № 63-ФЗ, подписанных/заверенных усиленной квалифицированно</w:t>
      </w:r>
      <w:r>
        <w:rPr>
          <w:rFonts w:ascii="Times New Roman" w:hAnsi="Times New Roman" w:cs="Times New Roman"/>
          <w:b w:val="0"/>
          <w:bCs w:val="0"/>
        </w:rPr>
        <w:t xml:space="preserve">й электронной подписью уполномоченного лица Гаранта, выдавшего (подписавшего) документ.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39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Непредставление обеспечения обязательств Участника закупки или несоответствие условий и содержания обеспечения обязательств требованиям документации является основание</w:t>
      </w:r>
      <w:r>
        <w:rPr>
          <w:rFonts w:ascii="Times New Roman" w:hAnsi="Times New Roman" w:cs="Times New Roman"/>
          <w:b w:val="0"/>
          <w:bCs w:val="0"/>
        </w:rPr>
        <w:t xml:space="preserve">м для отклонения заявки.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r/>
      <w:r/>
    </w:p>
    <w:p>
      <w:pPr>
        <w:pStyle w:val="1114"/>
        <w:numPr>
          <w:ilvl w:val="0"/>
          <w:numId w:val="1"/>
        </w:numPr>
        <w:ind w:left="0" w:firstLine="567"/>
        <w:jc w:val="left"/>
        <w:keepNext w:val="0"/>
        <w:spacing w:before="0" w:after="0"/>
        <w:rPr>
          <w:sz w:val="24"/>
          <w:szCs w:val="24"/>
        </w:rPr>
      </w:pPr>
      <w:r/>
      <w:bookmarkStart w:id="143" w:name="_Toc126935838"/>
      <w:r/>
      <w:bookmarkStart w:id="144" w:name="_Toc132974753"/>
      <w:r/>
      <w:bookmarkStart w:id="145" w:name="_Toc243045054"/>
      <w:r>
        <w:rPr>
          <w:sz w:val="24"/>
          <w:szCs w:val="24"/>
        </w:rPr>
        <w:t xml:space="preserve">ПОДАЧА ЗАЯВОК НА УЧАСТИЕ В </w:t>
      </w:r>
      <w:bookmarkEnd w:id="138"/>
      <w:r/>
      <w:bookmarkEnd w:id="139"/>
      <w:r>
        <w:rPr>
          <w:sz w:val="24"/>
          <w:szCs w:val="24"/>
        </w:rPr>
        <w:t xml:space="preserve">ЗАКУПКЕ</w:t>
      </w:r>
      <w:bookmarkEnd w:id="143"/>
      <w:r/>
      <w:bookmarkEnd w:id="144"/>
      <w:r/>
      <w:bookmarkEnd w:id="145"/>
      <w:r/>
      <w:r>
        <w:rPr>
          <w:sz w:val="24"/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46" w:name="_Ref166249895"/>
      <w:r/>
      <w:bookmarkStart w:id="147" w:name="_Toc387652318"/>
      <w:r/>
      <w:bookmarkStart w:id="148" w:name="_Toc126935839"/>
      <w:r/>
      <w:bookmarkStart w:id="149" w:name="_Toc132974754"/>
      <w:r/>
      <w:bookmarkStart w:id="150" w:name="_Toc243045055"/>
      <w:r>
        <w:rPr>
          <w:sz w:val="24"/>
          <w:szCs w:val="24"/>
        </w:rPr>
        <w:t xml:space="preserve">Порядок, место, дата начала и дата окончания срока подачи заявок на участие в </w:t>
      </w:r>
      <w:bookmarkEnd w:id="146"/>
      <w:r/>
      <w:bookmarkEnd w:id="147"/>
      <w:r>
        <w:rPr>
          <w:sz w:val="24"/>
          <w:szCs w:val="24"/>
        </w:rPr>
        <w:t xml:space="preserve">закупке</w:t>
      </w:r>
      <w:bookmarkEnd w:id="148"/>
      <w:r/>
      <w:bookmarkEnd w:id="149"/>
      <w:r/>
      <w:bookmarkEnd w:id="15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Заявка в полном объеме </w:t>
      </w:r>
      <w:r>
        <w:rPr>
          <w:rFonts w:ascii="Times New Roman" w:hAnsi="Times New Roman" w:cs="Times New Roman"/>
          <w:b w:val="0"/>
          <w:bCs w:val="0"/>
        </w:rPr>
        <w:t xml:space="preserve">должна быть подготовлена в электронной форме с использованием функционала ЭП в соответствии с Регламентом работы ЭП в сроки, установленные в пункте 8 части II «ИНФОРМАЦИОННАЯ КАРТА ЗАКУПКИ». Для подтверждения соответствия и обеспечения законной силы докуме</w:t>
      </w:r>
      <w:r>
        <w:rPr>
          <w:rFonts w:ascii="Times New Roman" w:hAnsi="Times New Roman" w:cs="Times New Roman"/>
          <w:b w:val="0"/>
          <w:bCs w:val="0"/>
        </w:rPr>
        <w:t xml:space="preserve">нтов участника, размещенных в составе заявки на ЭП, участником предоставляется пакет документов, установленных пункте 10.1 части II «ИНФОРМАЦИОННАЯ КАРТА ЗАКУПКИ», в бумажной форме в порядке, установленном пункте 8.1 части II «ИНФОРМАЦИОННАЯ КАРТА ЗАКУПКИ»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 вправе подать только одну заявку на участие в процедуре закупки в отношении каждого лота.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51" w:name="_Ref119429670"/>
      <w:r/>
      <w:bookmarkStart w:id="152" w:name="_Toc123405476"/>
      <w:r/>
      <w:bookmarkStart w:id="153" w:name="_Toc387652319"/>
      <w:r/>
      <w:bookmarkStart w:id="154" w:name="_Toc126935840"/>
      <w:r/>
      <w:bookmarkStart w:id="155" w:name="_Toc132974755"/>
      <w:r/>
      <w:bookmarkStart w:id="156" w:name="_Toc243045056"/>
      <w:r>
        <w:rPr>
          <w:sz w:val="24"/>
          <w:szCs w:val="24"/>
        </w:rPr>
        <w:t xml:space="preserve">Изменения и отзыв заявок на участие в </w:t>
      </w:r>
      <w:bookmarkEnd w:id="151"/>
      <w:r/>
      <w:bookmarkEnd w:id="152"/>
      <w:r/>
      <w:bookmarkEnd w:id="153"/>
      <w:r>
        <w:rPr>
          <w:sz w:val="24"/>
          <w:szCs w:val="24"/>
        </w:rPr>
        <w:t xml:space="preserve">закупке</w:t>
      </w:r>
      <w:bookmarkEnd w:id="154"/>
      <w:r/>
      <w:bookmarkEnd w:id="155"/>
      <w:r/>
      <w:bookmarkEnd w:id="156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Участник закупки, подавший заявку на участие в закупке, вправе изменить или отозвать заявку на участие в закупке в любое время до момента окончания срока подачи заявок на участие в закупке.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Порядок изменения и отзыва заявок на участие в закупке определен </w:t>
      </w:r>
      <w:r>
        <w:rPr>
          <w:rFonts w:ascii="Times New Roman" w:hAnsi="Times New Roman" w:cs="Times New Roman"/>
          <w:b w:val="0"/>
          <w:bCs w:val="0"/>
        </w:rPr>
        <w:t xml:space="preserve">Регламентом работы ЭП.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После окончания срока подачи заявок не допускается изменение или отзыв заявок на участие в закупке за исключением случаев, предусмотренных законодательством о закупках отдельных видов юридических лиц.</w:t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</w:pPr>
      <w:r/>
      <w:r/>
    </w:p>
    <w:p>
      <w:pPr>
        <w:pStyle w:val="1114"/>
        <w:numPr>
          <w:ilvl w:val="0"/>
          <w:numId w:val="1"/>
        </w:numPr>
        <w:ind w:left="0" w:firstLine="567"/>
        <w:jc w:val="left"/>
        <w:keepNext w:val="0"/>
        <w:spacing w:before="0" w:after="0"/>
        <w:rPr>
          <w:sz w:val="24"/>
          <w:szCs w:val="24"/>
        </w:rPr>
      </w:pPr>
      <w:r/>
      <w:bookmarkStart w:id="157" w:name="_Toc126935841"/>
      <w:r/>
      <w:bookmarkStart w:id="158" w:name="_Toc132974756"/>
      <w:r/>
      <w:bookmarkStart w:id="159" w:name="_Ref119430360"/>
      <w:r/>
      <w:bookmarkStart w:id="160" w:name="_Toc123405483"/>
      <w:r/>
      <w:bookmarkStart w:id="161" w:name="_Toc243045057"/>
      <w:r>
        <w:rPr>
          <w:sz w:val="24"/>
          <w:szCs w:val="24"/>
        </w:rPr>
        <w:t xml:space="preserve">ПОРЯДОК ПРОВЕДЕНИЯ ЗАКУПКИ</w:t>
      </w:r>
      <w:bookmarkEnd w:id="157"/>
      <w:r/>
      <w:bookmarkEnd w:id="158"/>
      <w:r/>
      <w:bookmarkEnd w:id="161"/>
      <w:r/>
      <w:r>
        <w:rPr>
          <w:sz w:val="24"/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62" w:name="_Toc337273"/>
      <w:r/>
      <w:bookmarkStart w:id="163" w:name="_Toc126935842"/>
      <w:r/>
      <w:bookmarkStart w:id="164" w:name="_Toc132974757"/>
      <w:r/>
      <w:bookmarkStart w:id="165" w:name="_Ref125827199"/>
      <w:r/>
      <w:bookmarkStart w:id="166" w:name="_Toc518119388"/>
      <w:r/>
      <w:bookmarkStart w:id="167" w:name="_Toc243045058"/>
      <w:r/>
      <w:bookmarkEnd w:id="159"/>
      <w:r/>
      <w:bookmarkEnd w:id="160"/>
      <w:r>
        <w:rPr>
          <w:sz w:val="24"/>
          <w:szCs w:val="24"/>
        </w:rPr>
        <w:t xml:space="preserve">Общ</w:t>
      </w:r>
      <w:r>
        <w:rPr>
          <w:sz w:val="24"/>
          <w:szCs w:val="24"/>
        </w:rPr>
        <w:t xml:space="preserve">ий порядок проведения закупки</w:t>
      </w:r>
      <w:bookmarkEnd w:id="162"/>
      <w:r/>
      <w:bookmarkEnd w:id="163"/>
      <w:r/>
      <w:bookmarkEnd w:id="164"/>
      <w:r/>
      <w:bookmarkEnd w:id="167"/>
      <w:r/>
      <w:r>
        <w:rPr>
          <w:sz w:val="24"/>
          <w:szCs w:val="24"/>
        </w:rPr>
      </w:r>
    </w:p>
    <w:p>
      <w:pPr>
        <w:pStyle w:val="1524"/>
        <w:numPr>
          <w:ilvl w:val="2"/>
          <w:numId w:val="1"/>
        </w:numPr>
        <w:rPr>
          <w:szCs w:val="24"/>
        </w:rPr>
      </w:pPr>
      <w:r>
        <w:rPr>
          <w:szCs w:val="24"/>
        </w:rPr>
        <w:t xml:space="preserve">Закупочная процедура проводится в следующем порядке: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размещение извещения о закупке и, при необходимости, документации о закупке в единой информационной системе (п. 2.1 части I «ОБЩИЕ УСЛОВИЯ ПРОВЕДЕНИЯ ЗАКУПКИ</w:t>
      </w:r>
      <w:r>
        <w:rPr>
          <w:bCs w:val="0"/>
          <w:szCs w:val="24"/>
        </w:rPr>
        <w:t xml:space="preserve">»</w:t>
      </w:r>
      <w:r>
        <w:rPr>
          <w:szCs w:val="24"/>
        </w:rPr>
        <w:t xml:space="preserve">);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предоставлен</w:t>
      </w:r>
      <w:r>
        <w:rPr>
          <w:szCs w:val="24"/>
        </w:rPr>
        <w:t xml:space="preserve">ие участникам закупки извещения о закупке и документации о закупке в порядке, указанном в извещении о закупке (при необходимости);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предоставление по запросам участников закупки разъяснений извещения о закупке и (или) документации о закупке, внесение измене</w:t>
      </w:r>
      <w:r>
        <w:rPr>
          <w:szCs w:val="24"/>
        </w:rPr>
        <w:t xml:space="preserve">ний в извещение о закупке и (или) документацию о закупке размещение разъяснений/изменений/ информации об отказе от проведения закупки (пп. 2.2, 2.3, 2.4 части </w:t>
      </w:r>
      <w:r>
        <w:rPr>
          <w:szCs w:val="24"/>
          <w:lang w:val="en-US"/>
        </w:rPr>
        <w:t xml:space="preserve">I</w:t>
      </w:r>
      <w:r>
        <w:rPr>
          <w:szCs w:val="24"/>
        </w:rPr>
        <w:t xml:space="preserve"> </w:t>
      </w:r>
      <w:r>
        <w:rPr>
          <w:bCs w:val="0"/>
          <w:szCs w:val="24"/>
        </w:rPr>
        <w:t xml:space="preserve">«</w:t>
      </w:r>
      <w:r>
        <w:rPr>
          <w:szCs w:val="24"/>
        </w:rPr>
        <w:t xml:space="preserve">ОБЩИЕ УСЛОВИЯ ПРОВЕДЕНИЯ ЗАКУПКИ</w:t>
      </w:r>
      <w:r>
        <w:rPr>
          <w:bCs w:val="0"/>
          <w:szCs w:val="24"/>
        </w:rPr>
        <w:t xml:space="preserve">»)</w:t>
      </w:r>
      <w:r>
        <w:rPr>
          <w:szCs w:val="24"/>
        </w:rPr>
        <w:t xml:space="preserve">; 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подача заявок на участие в Закупочной процедуре и их прие</w:t>
      </w:r>
      <w:r>
        <w:rPr>
          <w:szCs w:val="24"/>
        </w:rPr>
        <w:t xml:space="preserve">м (п. 4.1 части </w:t>
      </w:r>
      <w:r>
        <w:rPr>
          <w:szCs w:val="24"/>
          <w:lang w:val="en-US"/>
        </w:rPr>
        <w:t xml:space="preserve">I</w:t>
      </w:r>
      <w:r>
        <w:rPr>
          <w:szCs w:val="24"/>
        </w:rPr>
        <w:t xml:space="preserve"> </w:t>
      </w:r>
      <w:r>
        <w:rPr>
          <w:bCs w:val="0"/>
          <w:szCs w:val="24"/>
        </w:rPr>
        <w:t xml:space="preserve">«</w:t>
      </w:r>
      <w:r>
        <w:rPr>
          <w:szCs w:val="24"/>
        </w:rPr>
        <w:t xml:space="preserve">ОБЩИЕ УСЛОВИЯ ПРОВЕДЕНИЯ ЗАКУПКИ</w:t>
      </w:r>
      <w:r>
        <w:rPr>
          <w:bCs w:val="0"/>
          <w:szCs w:val="24"/>
        </w:rPr>
        <w:t xml:space="preserve">»);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проведение этапов закупки, установленных в пункте 7 </w:t>
      </w:r>
      <w:r>
        <w:rPr>
          <w:bCs w:val="0"/>
          <w:szCs w:val="24"/>
        </w:rPr>
        <w:t xml:space="preserve">части II «ИНФОРМАЦИОННАЯ КАРТА ЗАКУПКИ» </w:t>
      </w:r>
      <w:r>
        <w:rPr>
          <w:szCs w:val="24"/>
        </w:rPr>
        <w:t xml:space="preserve">с формированием протоколов по результатам каждого этапа и итогового протокола. Размещение протоколов, составл</w:t>
      </w:r>
      <w:r>
        <w:rPr>
          <w:szCs w:val="24"/>
        </w:rPr>
        <w:t xml:space="preserve">енных в ходе проведения закупки в единой информационной системе (пп. 5.4 – 5.5 части </w:t>
      </w:r>
      <w:r>
        <w:rPr>
          <w:szCs w:val="24"/>
          <w:lang w:val="en-US"/>
        </w:rPr>
        <w:t xml:space="preserve">I</w:t>
      </w:r>
      <w:r>
        <w:rPr>
          <w:szCs w:val="24"/>
        </w:rPr>
        <w:t xml:space="preserve"> </w:t>
      </w:r>
      <w:r>
        <w:rPr>
          <w:bCs w:val="0"/>
          <w:szCs w:val="24"/>
        </w:rPr>
        <w:t xml:space="preserve">«</w:t>
      </w:r>
      <w:r>
        <w:rPr>
          <w:szCs w:val="24"/>
        </w:rPr>
        <w:t xml:space="preserve">ОБЩИЕ УСЛОВИЯ ПРОВЕДЕНИЯ ЗАКУПКИ</w:t>
      </w:r>
      <w:r>
        <w:rPr>
          <w:bCs w:val="0"/>
          <w:szCs w:val="24"/>
        </w:rPr>
        <w:t xml:space="preserve">»</w:t>
      </w:r>
      <w:r>
        <w:rPr>
          <w:szCs w:val="24"/>
        </w:rPr>
        <w:t xml:space="preserve">);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проведение при необходимости и при наличии такой возможности преддоговорных переговоров между Заказчиком и победителем конкурентной </w:t>
      </w:r>
      <w:r>
        <w:rPr>
          <w:szCs w:val="24"/>
        </w:rPr>
        <w:t xml:space="preserve">процедуры (единственным участником) с формированием по результатам таких переговоров при необходимости соглашения о проведении преддоговорных переговоров (п.5.6 части </w:t>
      </w:r>
      <w:r>
        <w:rPr>
          <w:szCs w:val="24"/>
          <w:lang w:val="en-US"/>
        </w:rPr>
        <w:t xml:space="preserve">I</w:t>
      </w:r>
      <w:r>
        <w:rPr>
          <w:szCs w:val="24"/>
        </w:rPr>
        <w:t xml:space="preserve"> </w:t>
      </w:r>
      <w:r>
        <w:rPr>
          <w:bCs w:val="0"/>
          <w:szCs w:val="24"/>
        </w:rPr>
        <w:t xml:space="preserve">«</w:t>
      </w:r>
      <w:r>
        <w:rPr>
          <w:szCs w:val="24"/>
        </w:rPr>
        <w:t xml:space="preserve">ОБЩИЕ УСЛОВИЯ ПРОВЕДЕНИЯ ЗАКУПКИ</w:t>
      </w:r>
      <w:r>
        <w:rPr>
          <w:bCs w:val="0"/>
          <w:szCs w:val="24"/>
        </w:rPr>
        <w:t xml:space="preserve">»)</w:t>
      </w:r>
      <w:r>
        <w:rPr>
          <w:szCs w:val="24"/>
        </w:rPr>
        <w:t xml:space="preserve">;</w:t>
      </w:r>
      <w:r>
        <w:rPr>
          <w:szCs w:val="24"/>
        </w:rPr>
      </w:r>
    </w:p>
    <w:p>
      <w:pPr>
        <w:pStyle w:val="1524"/>
        <w:numPr>
          <w:ilvl w:val="2"/>
          <w:numId w:val="32"/>
        </w:numPr>
        <w:ind w:left="0"/>
        <w:tabs>
          <w:tab w:val="clear" w:pos="454" w:leader="none"/>
          <w:tab w:val="num" w:pos="1418" w:leader="none"/>
        </w:tabs>
        <w:rPr>
          <w:szCs w:val="24"/>
        </w:rPr>
      </w:pPr>
      <w:r>
        <w:rPr>
          <w:szCs w:val="24"/>
        </w:rPr>
        <w:t xml:space="preserve">подписание договора с победителем (единственным уч</w:t>
      </w:r>
      <w:r>
        <w:rPr>
          <w:szCs w:val="24"/>
        </w:rPr>
        <w:t xml:space="preserve">астником закупки) (п. 6.1 части I «ОБЩИЕ УСЛОВИЯ ПРОВЕДЕНИЯ ЗАКУПКИ»).</w:t>
      </w:r>
      <w:r>
        <w:rPr>
          <w:szCs w:val="24"/>
        </w:rPr>
      </w:r>
    </w:p>
    <w:p>
      <w:pPr>
        <w:pStyle w:val="1524"/>
        <w:ind w:left="851" w:firstLine="0"/>
        <w:spacing w:line="264" w:lineRule="auto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68" w:name="_Toc126935843"/>
      <w:r/>
      <w:bookmarkStart w:id="169" w:name="_Toc132974758"/>
      <w:r/>
      <w:bookmarkStart w:id="170" w:name="_Toc243045059"/>
      <w:r>
        <w:rPr>
          <w:sz w:val="24"/>
          <w:szCs w:val="24"/>
        </w:rPr>
        <w:t xml:space="preserve">Закупочная комиссия</w:t>
      </w:r>
      <w:bookmarkEnd w:id="168"/>
      <w:r/>
      <w:bookmarkEnd w:id="169"/>
      <w:r/>
      <w:bookmarkEnd w:id="17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целях проведения закупки Заказчик формирует Закупочную комиссию, осуществляющую свои полномочия в порядке, установленном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71" w:name="_Toc126935844"/>
      <w:r/>
      <w:bookmarkStart w:id="172" w:name="_Toc132974759"/>
      <w:r/>
      <w:bookmarkStart w:id="173" w:name="_Toc243045060"/>
      <w:r>
        <w:rPr>
          <w:sz w:val="24"/>
          <w:szCs w:val="24"/>
        </w:rPr>
        <w:t xml:space="preserve">Открытие доступа к заявкам.</w:t>
      </w:r>
      <w:bookmarkEnd w:id="171"/>
      <w:r/>
      <w:bookmarkEnd w:id="172"/>
      <w:r/>
      <w:bookmarkEnd w:id="173"/>
      <w:r/>
      <w:r>
        <w:rPr>
          <w:sz w:val="24"/>
          <w:szCs w:val="24"/>
        </w:rPr>
      </w:r>
    </w:p>
    <w:p>
      <w:pPr>
        <w:pStyle w:val="1116"/>
        <w:numPr>
          <w:ilvl w:val="2"/>
          <w:numId w:val="9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174" w:name="_Ref535416033"/>
      <w:r>
        <w:rPr>
          <w:rFonts w:ascii="Times New Roman" w:hAnsi="Times New Roman" w:cs="Times New Roman"/>
          <w:b w:val="0"/>
        </w:rPr>
        <w:t xml:space="preserve">Подача заявок (включающих ценовое предложение, предложение в отношении п</w:t>
      </w:r>
      <w:r>
        <w:rPr>
          <w:rFonts w:ascii="Times New Roman" w:hAnsi="Times New Roman" w:cs="Times New Roman"/>
          <w:b w:val="0"/>
        </w:rPr>
        <w:t xml:space="preserve">редмета закупки, а также сведения об участнике закупки, информацию и документы, необходимые для осуществления отбора, оценки и сопоставления заявок </w:t>
      </w:r>
      <w:r>
        <w:rPr>
          <w:rFonts w:ascii="Times New Roman" w:hAnsi="Times New Roman" w:cs="Times New Roman"/>
          <w:b w:val="0"/>
        </w:rPr>
        <w:t xml:space="preserve">участников) осуществляется в соответствии с пунктом 4 части </w:t>
      </w:r>
      <w:r>
        <w:rPr>
          <w:rFonts w:ascii="Times New Roman" w:hAnsi="Times New Roman" w:cs="Times New Roman"/>
          <w:b w:val="0"/>
          <w:lang w:val="en-US"/>
        </w:rPr>
        <w:t xml:space="preserve">I</w:t>
      </w:r>
      <w:r>
        <w:rPr>
          <w:rFonts w:ascii="Times New Roman" w:hAnsi="Times New Roman" w:cs="Times New Roman"/>
          <w:b w:val="0"/>
        </w:rPr>
        <w:t xml:space="preserve"> «ОБЩИЕ ПОЛОЖЕНИЯ», пунктом 8 и пунктом 8.1 час</w:t>
      </w:r>
      <w:r>
        <w:rPr>
          <w:rFonts w:ascii="Times New Roman" w:hAnsi="Times New Roman" w:cs="Times New Roman"/>
          <w:b w:val="0"/>
        </w:rPr>
        <w:t xml:space="preserve">ти II «ИНФОРМАЦИОННАЯ КАРТА ЗАКУПКИ»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9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Открытие доступа к заявкам участников закупки осуществляется оператором электронной площадки в порядке, установленном действующим законодательством и Регламентом работы </w:t>
      </w:r>
      <w:bookmarkEnd w:id="174"/>
      <w:r>
        <w:rPr>
          <w:rFonts w:ascii="Times New Roman" w:hAnsi="Times New Roman" w:cs="Times New Roman"/>
          <w:b w:val="0"/>
          <w:bCs w:val="0"/>
        </w:rPr>
        <w:t xml:space="preserve">ЭП в день и время, указанные в извещении о закупке и пункте 8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75" w:name="_Toc126935845"/>
      <w:r/>
      <w:bookmarkStart w:id="176" w:name="_Toc132974760"/>
      <w:r/>
      <w:bookmarkStart w:id="177" w:name="_Toc243045061"/>
      <w:r>
        <w:rPr>
          <w:sz w:val="24"/>
          <w:szCs w:val="24"/>
        </w:rPr>
        <w:t xml:space="preserve">Рассмотрение заявок участников закупки</w:t>
      </w:r>
      <w:bookmarkEnd w:id="175"/>
      <w:r/>
      <w:bookmarkEnd w:id="176"/>
      <w:r/>
      <w:bookmarkEnd w:id="177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Процедура рассмотрения заявок участников закупки проводится после окончания срока подачи заявок (даты и времени),</w:t>
      </w:r>
      <w:r>
        <w:rPr>
          <w:rFonts w:ascii="Times New Roman" w:hAnsi="Times New Roman" w:cs="Times New Roman"/>
          <w:b w:val="0"/>
          <w:bCs w:val="0"/>
        </w:rPr>
        <w:t xml:space="preserve"> указанного в пункте 8 части II «ИНФОРМАЦИОННАЯ КАРТА ЗАКУПКИ». Рассмотрение заявок участников осуществляются Закупочной комиссией в сроки, установленные в пункте 8 части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Заявки участников рассматриваются в соответствии с</w:t>
      </w:r>
      <w:r>
        <w:rPr>
          <w:rFonts w:ascii="Times New Roman" w:hAnsi="Times New Roman" w:cs="Times New Roman"/>
          <w:b w:val="0"/>
          <w:bCs w:val="0"/>
        </w:rPr>
        <w:t xml:space="preserve"> требованиями, устанавливаемыми в документации о закупке, на основании представленных в составе заявок сведений и документов, а также иных источников информации, предусмотренных документацией о закупке, законодательством Российской Федерации, в том числе о</w:t>
      </w:r>
      <w:r>
        <w:rPr>
          <w:rFonts w:ascii="Times New Roman" w:hAnsi="Times New Roman" w:cs="Times New Roman"/>
          <w:b w:val="0"/>
          <w:bCs w:val="0"/>
        </w:rPr>
        <w:t xml:space="preserve">фициальных сайтов государственных органов, организаций в сети Интернет.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предъявлять к участникам закупки, к привлекаемым субподрядчикам (в случаях, установленных в пункте 1.5.2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</w:rPr>
        <w:t xml:space="preserve"> Документации о закупке), к закупаемым товарам, работам, </w:t>
      </w:r>
      <w:r>
        <w:rPr>
          <w:rFonts w:ascii="Times New Roman" w:hAnsi="Times New Roman" w:cs="Times New Roman"/>
          <w:b w:val="0"/>
          <w:bCs w:val="0"/>
        </w:rPr>
        <w:t xml:space="preserve">услугам, а также к условиям исполнения договора требования, не установленные в документации о закупке. Требования, предъявляемые к участникам закупки, к привлекаемым субподрядчикам (в случаях, установленных в пункте 1.5.2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</w:t>
      </w:r>
      <w:r>
        <w:rPr>
          <w:rFonts w:ascii="Times New Roman" w:hAnsi="Times New Roman" w:cs="Times New Roman"/>
          <w:b w:val="0"/>
          <w:bCs w:val="0"/>
        </w:rPr>
        <w:t xml:space="preserve"> Документации о закупке), к</w:t>
      </w:r>
      <w:r>
        <w:rPr>
          <w:rFonts w:ascii="Times New Roman" w:hAnsi="Times New Roman" w:cs="Times New Roman"/>
          <w:b w:val="0"/>
          <w:bCs w:val="0"/>
        </w:rPr>
        <w:t xml:space="preserve"> закупаемым товарам, работам, услугам, а также к условиям исполнения договора, установленные Заказчиком, применяются в равной степени ко всем участникам закупки, к предлагаемым ими товарам, работам, услугам, к условиям исполнения договора.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Закупочная комис</w:t>
      </w:r>
      <w:r>
        <w:rPr>
          <w:rFonts w:ascii="Times New Roman" w:hAnsi="Times New Roman" w:cs="Times New Roman"/>
          <w:b w:val="0"/>
          <w:bCs w:val="0"/>
        </w:rPr>
        <w:t xml:space="preserve">сия отклоняет заявку участника в случаях, если: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15"/>
        </w:numPr>
        <w:ind w:left="0" w:firstLine="567"/>
        <w:jc w:val="both"/>
      </w:pPr>
      <w:r>
        <w:t xml:space="preserve">участник не соответствует требованиям к участнику закупки, установленным документацией о закупке, </w:t>
      </w:r>
      <w:r/>
    </w:p>
    <w:p>
      <w:pPr>
        <w:pStyle w:val="1495"/>
        <w:numPr>
          <w:ilvl w:val="0"/>
          <w:numId w:val="15"/>
        </w:numPr>
        <w:ind w:left="0" w:firstLine="567"/>
        <w:jc w:val="both"/>
      </w:pPr>
      <w:r>
        <w:rPr>
          <w:bCs/>
        </w:rPr>
        <w:t xml:space="preserve">привлекаемые субподрядчики (в случаях, установленных в пункте 1.5.2 части </w:t>
      </w:r>
      <w:r>
        <w:rPr>
          <w:bCs/>
          <w:lang w:val="en-US"/>
        </w:rPr>
        <w:t xml:space="preserve">I</w:t>
      </w:r>
      <w:r>
        <w:rPr>
          <w:bCs/>
        </w:rPr>
        <w:t xml:space="preserve"> Документации о закупке) не соотве</w:t>
      </w:r>
      <w:r>
        <w:rPr>
          <w:bCs/>
        </w:rPr>
        <w:t xml:space="preserve">тствуют требованиям к привлекаемому субподрядчику</w:t>
      </w:r>
      <w:r>
        <w:t xml:space="preserve">;</w:t>
      </w:r>
      <w:r/>
    </w:p>
    <w:p>
      <w:pPr>
        <w:pStyle w:val="1495"/>
        <w:numPr>
          <w:ilvl w:val="0"/>
          <w:numId w:val="15"/>
        </w:numPr>
        <w:ind w:left="0" w:firstLine="567"/>
        <w:jc w:val="both"/>
        <w:tabs>
          <w:tab w:val="num" w:pos="0" w:leader="none"/>
        </w:tabs>
      </w:pPr>
      <w:r>
        <w:t xml:space="preserve">заявка участника не соответствует требованиям, установленным документацией о закупке, в том числе к форме, составу, порядку оформления необходимых сведений и документов, а также в случае не предоставления </w:t>
      </w:r>
      <w:r>
        <w:t xml:space="preserve">участником закупки обеспечения заявки (если такое требование установлено документацией о закупке);</w:t>
      </w:r>
      <w:r/>
    </w:p>
    <w:p>
      <w:pPr>
        <w:pStyle w:val="1495"/>
        <w:numPr>
          <w:ilvl w:val="0"/>
          <w:numId w:val="15"/>
        </w:numPr>
        <w:ind w:left="0" w:firstLine="567"/>
        <w:jc w:val="both"/>
        <w:tabs>
          <w:tab w:val="num" w:pos="0" w:leader="none"/>
        </w:tabs>
      </w:pPr>
      <w:r>
        <w:t xml:space="preserve">по основаниям, предусмотренным п.1.7.10 документации о закупке;</w:t>
      </w:r>
      <w:r/>
    </w:p>
    <w:p>
      <w:pPr>
        <w:pStyle w:val="1495"/>
        <w:numPr>
          <w:ilvl w:val="0"/>
          <w:numId w:val="15"/>
        </w:numPr>
        <w:ind w:left="0" w:firstLine="567"/>
        <w:jc w:val="both"/>
        <w:tabs>
          <w:tab w:val="num" w:pos="0" w:leader="none"/>
        </w:tabs>
      </w:pPr>
      <w:r>
        <w:t xml:space="preserve">участник закупки (в том числе один или несколько членов коллективного участника) не предоставил справку о цепочке собственников, включая бенефициаров (в том числе конечных), согласие на обработку персональных данных;</w:t>
      </w:r>
      <w:r/>
    </w:p>
    <w:p>
      <w:pPr>
        <w:pStyle w:val="1495"/>
        <w:numPr>
          <w:ilvl w:val="0"/>
          <w:numId w:val="15"/>
        </w:numPr>
        <w:ind w:left="0" w:firstLine="567"/>
        <w:jc w:val="both"/>
        <w:tabs>
          <w:tab w:val="num" w:pos="0" w:leader="none"/>
        </w:tabs>
      </w:pPr>
      <w:r>
        <w:t xml:space="preserve">участник закупки предоставил недостовер</w:t>
      </w:r>
      <w:r>
        <w:t xml:space="preserve">ную информацию (сведения) в отношении своего соответствия требованиям, установленным документацией о закупке;</w:t>
      </w:r>
      <w:r/>
    </w:p>
    <w:p>
      <w:pPr>
        <w:pStyle w:val="1495"/>
        <w:numPr>
          <w:ilvl w:val="0"/>
          <w:numId w:val="15"/>
        </w:numPr>
        <w:ind w:left="0" w:firstLine="567"/>
        <w:jc w:val="both"/>
        <w:tabs>
          <w:tab w:val="num" w:pos="0" w:leader="none"/>
        </w:tabs>
      </w:pPr>
      <w:r>
        <w:t xml:space="preserve">заявки участников, аффилированных между собой (понятие аффилированного лица согласно ст.4 Закона РСФСР от 22.03.1991 № 948-1 «О конкуренции и огра</w:t>
      </w:r>
      <w:r>
        <w:t xml:space="preserve">ничении монополистической деятельности на товарных рынках»).</w:t>
      </w:r>
      <w:r/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Электронные документы, заверенные электронной подписью, не рассматриваются, если нарушены правила использования электронной подписи, установленные законодательством Российской Федерации, в том чи</w:t>
      </w:r>
      <w:r>
        <w:rPr>
          <w:rFonts w:ascii="Times New Roman" w:hAnsi="Times New Roman" w:cs="Times New Roman"/>
          <w:b w:val="0"/>
          <w:bCs w:val="0"/>
        </w:rPr>
        <w:t xml:space="preserve">сле, если сертификат ключа подписи утратил силу, электронная подпись используется с превышением полномочий и/или устарели данные, представленные для выдачи сертификата ключа </w:t>
      </w:r>
      <w:r>
        <w:rPr>
          <w:rFonts w:ascii="Times New Roman" w:hAnsi="Times New Roman" w:cs="Times New Roman"/>
          <w:b w:val="0"/>
          <w:bCs w:val="0"/>
        </w:rPr>
        <w:t xml:space="preserve">подписи (включая, но не ограничиваясь: изменены реквизиты юридического/физического</w:t>
      </w:r>
      <w:r>
        <w:rPr>
          <w:rFonts w:ascii="Times New Roman" w:hAnsi="Times New Roman" w:cs="Times New Roman"/>
          <w:b w:val="0"/>
          <w:bCs w:val="0"/>
        </w:rPr>
        <w:t xml:space="preserve"> лица, полномочия должностного лица, которому выдан сертификат ключа подписи).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Организатор закупки вправе проверять соответствие предоставленных участником закупки сведений и документов действительности, в том числе путем направления запросов в государств</w:t>
      </w:r>
      <w:r>
        <w:rPr>
          <w:rFonts w:ascii="Times New Roman" w:hAnsi="Times New Roman" w:cs="Times New Roman"/>
          <w:b w:val="0"/>
          <w:bCs w:val="0"/>
        </w:rPr>
        <w:t xml:space="preserve">енные органы, лицам, указанным в заявке.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</w:pPr>
      <w:r>
        <w:t xml:space="preserve">В рамках рассмотрения заявок закупочная комиссия вправе направить участнику закупки запрос на разъяснение положений заявки участника, с указанием срока его выполнения. При этом, не допускаются запросы или требования</w:t>
      </w:r>
      <w:r>
        <w:t xml:space="preserve"> о представлении участником недостающих документов. Не принимаются к рассмотрению документы и сведения, направленные участником в ходе исполнения запроса, которые изменяют существо заявки участника включая изменение коммерческих условий заявки (цены, валют</w:t>
      </w:r>
      <w:r>
        <w:t xml:space="preserve">ы, сроков и условий поставки, графика поставки, иных коммерческих условий).</w:t>
      </w:r>
      <w:r/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В рамках рассмотрения и оценки поданных участниками закупок заявок, для расчета количества баллов по соответствующему критерию или иных числовых значений, предусмотренных документа</w:t>
      </w:r>
      <w:r>
        <w:rPr>
          <w:rFonts w:ascii="Times New Roman" w:hAnsi="Times New Roman" w:cs="Times New Roman"/>
          <w:b w:val="0"/>
        </w:rPr>
        <w:t xml:space="preserve">цией о закупке (например, при расчете процента снижения НМЦ), закупочная комиссия применяет правило математического округления чисел, при котором, в случае получения дробных итоговых числовых значений, имеющих более 3 знаков в дробной части, осуществляется</w:t>
      </w:r>
      <w:r>
        <w:rPr>
          <w:rFonts w:ascii="Times New Roman" w:hAnsi="Times New Roman" w:cs="Times New Roman"/>
          <w:b w:val="0"/>
        </w:rPr>
        <w:t xml:space="preserve"> округление полученных значений до 3 знаков после запятой.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На основании результатов рассмотрения заявок на участие в закупке закупочной комиссией принимается решение: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7"/>
        <w:numPr>
          <w:ilvl w:val="0"/>
          <w:numId w:val="16"/>
        </w:numPr>
        <w:ind w:left="0" w:firstLine="567"/>
        <w:keepNext w:val="0"/>
        <w:spacing w:before="0" w:after="0"/>
        <w:tabs>
          <w:tab w:val="num" w:pos="0" w:leader="none"/>
          <w:tab w:val="clear" w:pos="43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признании участника и/или заявки участника соответствующей требованиям документации о </w:t>
      </w:r>
      <w:r>
        <w:rPr>
          <w:rFonts w:ascii="Times New Roman" w:hAnsi="Times New Roman" w:cs="Times New Roman"/>
        </w:rPr>
        <w:t xml:space="preserve">закупке;</w:t>
      </w:r>
      <w:r>
        <w:rPr>
          <w:rFonts w:ascii="Times New Roman" w:hAnsi="Times New Roman" w:cs="Times New Roman"/>
        </w:rPr>
      </w:r>
    </w:p>
    <w:p>
      <w:pPr>
        <w:pStyle w:val="1117"/>
        <w:numPr>
          <w:ilvl w:val="0"/>
          <w:numId w:val="16"/>
        </w:numPr>
        <w:ind w:left="0" w:firstLine="567"/>
        <w:keepNext w:val="0"/>
        <w:spacing w:before="0" w:after="0"/>
        <w:tabs>
          <w:tab w:val="num" w:pos="0" w:leader="none"/>
          <w:tab w:val="clear" w:pos="432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признании участника и/или заявки участника несоответствующими требованиям документации о закупке и отклонении заявки участника от участия в закупке.</w:t>
      </w:r>
      <w:r>
        <w:rPr>
          <w:rFonts w:ascii="Times New Roman" w:hAnsi="Times New Roman" w:cs="Times New Roman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 результатам этапа рассмотрения заявок участников закупки составляется протокол, в котором ука</w:t>
      </w:r>
      <w:r>
        <w:rPr>
          <w:rFonts w:ascii="Times New Roman" w:hAnsi="Times New Roman" w:cs="Times New Roman"/>
          <w:b w:val="0"/>
          <w:bCs w:val="0"/>
        </w:rPr>
        <w:t xml:space="preserve">зывается информация, предусмотренная Законом 223-ФЗ и Положением о закупке Заказчика, в том числе основания отклонения каждой заявки на участие в закупке (в случае принятия Закупочной комиссией соответствующего решения) с указанием положений документации о</w:t>
      </w:r>
      <w:r>
        <w:rPr>
          <w:rFonts w:ascii="Times New Roman" w:hAnsi="Times New Roman" w:cs="Times New Roman"/>
          <w:b w:val="0"/>
          <w:bCs w:val="0"/>
        </w:rPr>
        <w:t xml:space="preserve"> закупке.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проведении закупочной процедуры может быть предусмотрена возможность проведения процедуры на понижение цены заявок участников – переторжки/снижения сумм единичных расценок. Применение в рамках закупки процедуры переторжки указывается в пункт</w:t>
      </w:r>
      <w:r>
        <w:rPr>
          <w:rFonts w:ascii="Times New Roman" w:hAnsi="Times New Roman" w:cs="Times New Roman"/>
          <w:b w:val="0"/>
          <w:bCs w:val="0"/>
        </w:rPr>
        <w:t xml:space="preserve">е 7.1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II</w:t>
      </w:r>
      <w:r>
        <w:rPr>
          <w:rFonts w:ascii="Times New Roman" w:hAnsi="Times New Roman" w:cs="Times New Roman"/>
          <w:b w:val="0"/>
          <w:bCs w:val="0"/>
        </w:rPr>
        <w:t xml:space="preserve"> Документации о закупке.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3"/>
          <w:numId w:val="1"/>
        </w:numPr>
        <w:ind w:left="0" w:firstLine="567"/>
        <w:keepNext w:val="0"/>
        <w:spacing w:before="0"/>
        <w:tabs>
          <w:tab w:val="num" w:pos="0" w:leader="none"/>
          <w:tab w:val="clear" w:pos="129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Переторжка проводится при условии допуска к участию в закупке одного и более участников. Участник закупки вправе не участвовать в переторжке, в этом случае его заявка остается действующей с ранее объявленной ценой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709"/>
        <w:tabs>
          <w:tab w:val="num" w:pos="0" w:leader="none"/>
        </w:tabs>
        <w:rPr>
          <w:bCs/>
        </w:rPr>
      </w:pPr>
      <w:r>
        <w:rPr>
          <w:bCs/>
        </w:rPr>
        <w:t xml:space="preserve">В </w:t>
      </w:r>
      <w:r>
        <w:rPr>
          <w:bCs/>
        </w:rPr>
        <w:t xml:space="preserve">соответствии с Регламентом работы ЭП Организатор вправе пропустить переторжку, провести переторжку, изменить дату и время проведения переторжки, провести несколько переторжек в рамках Закупки или отменить переторжку на любом этапе проведения процедуры заку</w:t>
      </w:r>
      <w:r>
        <w:rPr>
          <w:bCs/>
        </w:rPr>
        <w:t xml:space="preserve">пки.</w:t>
      </w:r>
      <w:r>
        <w:rPr>
          <w:bCs/>
        </w:rPr>
      </w:r>
    </w:p>
    <w:p>
      <w:pPr>
        <w:pStyle w:val="1116"/>
        <w:numPr>
          <w:ilvl w:val="3"/>
          <w:numId w:val="1"/>
        </w:numPr>
        <w:ind w:left="0" w:firstLine="567"/>
        <w:keepNext w:val="0"/>
        <w:spacing w:before="0"/>
        <w:tabs>
          <w:tab w:val="num" w:pos="0" w:leader="none"/>
          <w:tab w:val="clear" w:pos="129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Переторжка может проводится в очной (путем возможности неоднократной подачи участниками переторжки ценовых предложений) либо в заочной форме (путем однократной подачи участниками переторжки ценовых предложений).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3"/>
          <w:numId w:val="1"/>
        </w:numPr>
        <w:ind w:left="0" w:firstLine="567"/>
        <w:keepNext w:val="0"/>
        <w:spacing w:before="0"/>
        <w:tabs>
          <w:tab w:val="num" w:pos="0" w:leader="none"/>
          <w:tab w:val="clear" w:pos="129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В ходе переторжки участник закупки впра</w:t>
      </w:r>
      <w:r>
        <w:rPr>
          <w:rFonts w:ascii="Times New Roman" w:hAnsi="Times New Roman" w:cs="Times New Roman"/>
          <w:b w:val="0"/>
        </w:rPr>
        <w:t xml:space="preserve">ве подавать ценовые предложения при собственном лидирующем (наилучшем) ценовом предложении. Предложения участника по ухудшению первоначальных условий не рассматриваются, такой участник считается не участвовавшим в переторжке, при этом его заявка на участие</w:t>
      </w:r>
      <w:r>
        <w:rPr>
          <w:rFonts w:ascii="Times New Roman" w:hAnsi="Times New Roman" w:cs="Times New Roman"/>
          <w:b w:val="0"/>
        </w:rPr>
        <w:t xml:space="preserve"> в процедуре остается действующей с ранее объявленными условиями.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3"/>
          <w:numId w:val="1"/>
        </w:numPr>
        <w:ind w:left="0" w:firstLine="567"/>
        <w:keepNext w:val="0"/>
        <w:spacing w:before="0"/>
        <w:tabs>
          <w:tab w:val="num" w:pos="0" w:leader="none"/>
          <w:tab w:val="clear" w:pos="129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Шаг переторжки определяется Закупочной комиссией и указывается в </w:t>
      </w:r>
      <w:r>
        <w:rPr>
          <w:rFonts w:ascii="Times New Roman" w:hAnsi="Times New Roman" w:cs="Times New Roman"/>
          <w:b w:val="0"/>
          <w:bCs w:val="0"/>
        </w:rPr>
        <w:t xml:space="preserve">пункте 8 части II «ИНФОРМАЦИОННАЯ КАРТА ЗАКУПКИ»</w:t>
      </w:r>
      <w:r>
        <w:rPr>
          <w:rFonts w:ascii="Times New Roman" w:hAnsi="Times New Roman" w:cs="Times New Roman"/>
          <w:b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3"/>
          <w:numId w:val="1"/>
        </w:numPr>
        <w:ind w:left="0" w:firstLine="567"/>
        <w:keepNext w:val="0"/>
        <w:spacing w:before="0"/>
        <w:tabs>
          <w:tab w:val="num" w:pos="0" w:leader="none"/>
          <w:tab w:val="clear" w:pos="129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Участники закупочной процедуры уведомляются о проведении процедуры переторжки </w:t>
      </w:r>
      <w:r>
        <w:rPr>
          <w:rFonts w:ascii="Times New Roman" w:hAnsi="Times New Roman" w:cs="Times New Roman"/>
          <w:b w:val="0"/>
          <w:bCs w:val="0"/>
        </w:rPr>
        <w:t xml:space="preserve">не менее</w:t>
      </w:r>
      <w:r>
        <w:rPr>
          <w:rFonts w:ascii="Times New Roman" w:hAnsi="Times New Roman" w:cs="Times New Roman"/>
          <w:b w:val="0"/>
        </w:rPr>
        <w:t xml:space="preserve"> чем за сутки.</w:t>
      </w:r>
      <w:r>
        <w:rPr>
          <w:rFonts w:ascii="Times New Roman" w:hAnsi="Times New Roman" w:cs="Times New Roman"/>
          <w:b w:val="0"/>
          <w:bCs w:val="0"/>
        </w:rPr>
        <w:t xml:space="preserve"> Дата и время проведения повторных процедур переторжки указывается на сайте электронной площадки, информация о чем доводится до сведения участников закупки </w:t>
      </w:r>
      <w:r>
        <w:rPr>
          <w:rFonts w:ascii="Times New Roman" w:hAnsi="Times New Roman" w:cs="Times New Roman"/>
          <w:b w:val="0"/>
          <w:bCs w:val="0"/>
        </w:rPr>
        <w:t xml:space="preserve">средствами ЭП.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3"/>
          <w:numId w:val="1"/>
        </w:numPr>
        <w:ind w:left="0" w:firstLine="567"/>
        <w:keepNext w:val="0"/>
        <w:spacing w:before="0"/>
        <w:tabs>
          <w:tab w:val="num" w:pos="0" w:leader="none"/>
          <w:tab w:val="clear" w:pos="129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Переторжка является обязательной, если размер начальной (максимальной) цены договора составляет 5 (пять) и более миллионов рублей с НДС за исключением случаев проведения закупочных процедур, осуществляемых в целях реализации договоров технол</w:t>
      </w:r>
      <w:r>
        <w:rPr>
          <w:rFonts w:ascii="Times New Roman" w:hAnsi="Times New Roman" w:cs="Times New Roman"/>
          <w:b w:val="0"/>
          <w:bCs w:val="0"/>
        </w:rPr>
        <w:t xml:space="preserve">огического присоединения (в указанном случае проведение переторжки является обязательным, если размер начальной (максимальной) цены договора составляет 30 (тридцать) и более миллионов рублей с НДС. Переторжка может быть проведена неограниченное количество </w:t>
      </w:r>
      <w:r>
        <w:rPr>
          <w:rFonts w:ascii="Times New Roman" w:hAnsi="Times New Roman" w:cs="Times New Roman"/>
          <w:b w:val="0"/>
          <w:bCs w:val="0"/>
        </w:rPr>
        <w:t xml:space="preserve">раз. Порядок проведения переторжки </w:t>
      </w:r>
      <w:r>
        <w:rPr>
          <w:rFonts w:ascii="Times New Roman" w:hAnsi="Times New Roman" w:cs="Times New Roman"/>
          <w:b w:val="0"/>
        </w:rPr>
        <w:t xml:space="preserve">определяется правилами ЭП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78" w:name="_Toc126935846"/>
      <w:r/>
      <w:bookmarkStart w:id="179" w:name="_Toc132974761"/>
      <w:r/>
      <w:bookmarkStart w:id="180" w:name="_Toc243045062"/>
      <w:r>
        <w:rPr>
          <w:sz w:val="24"/>
          <w:szCs w:val="24"/>
        </w:rPr>
        <w:t xml:space="preserve">Подведение итогов закупки, в рамках которых осуществляется оценка и сопоставление заявок участников, допущенных до участия в закупке по результатам рассмотрения заявок и проведения переторжки.</w:t>
      </w:r>
      <w:bookmarkEnd w:id="178"/>
      <w:r/>
      <w:bookmarkEnd w:id="179"/>
      <w:r/>
      <w:bookmarkEnd w:id="18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Подведение итогов закупки осуществляются Закупочной комиссией в сроки, установленные в пункте 8 части II «ИНФОРМАЦИОННАЯ КАРТА ЗАКУПКИ».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рамках подведения итогов осуществляется оценка и сопоставление заявок участников, допущенных до участия в закупке по </w:t>
      </w:r>
      <w:r>
        <w:rPr>
          <w:rFonts w:ascii="Times New Roman" w:hAnsi="Times New Roman" w:cs="Times New Roman"/>
          <w:b w:val="0"/>
        </w:rPr>
        <w:t xml:space="preserve">результатам рассмотрения заявок. </w:t>
      </w:r>
      <w:r>
        <w:rPr>
          <w:rFonts w:ascii="Times New Roman" w:hAnsi="Times New Roman" w:cs="Times New Roman"/>
          <w:b w:val="0"/>
          <w:bCs w:val="0"/>
        </w:rPr>
        <w:t xml:space="preserve">Заявки участников закупки оцениваются исходя из критериев и в порядке, установленном в приложении 1 части II «ИНФОРМАЦИОННАЯ КАРТА ЗАКУПКИ».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Не допускается осуществлять оценку и сопоставление заявок на участие в закупке по </w:t>
      </w:r>
      <w:r>
        <w:rPr>
          <w:rFonts w:ascii="Times New Roman" w:hAnsi="Times New Roman" w:cs="Times New Roman"/>
          <w:b w:val="0"/>
          <w:bCs w:val="0"/>
        </w:rPr>
        <w:t xml:space="preserve">критериям и в порядке, которые не указаны в документации о закупке. Критерии и порядок оценки и сопоставления заявок на участие в закупке, установленные Заказчиком, применяются в равной степени ко всем участникам закупки, к предлагаемым ими товарам, работа</w:t>
      </w:r>
      <w:r>
        <w:rPr>
          <w:rFonts w:ascii="Times New Roman" w:hAnsi="Times New Roman" w:cs="Times New Roman"/>
          <w:b w:val="0"/>
          <w:bCs w:val="0"/>
        </w:rPr>
        <w:t xml:space="preserve">м, услугам, к условиям исполнения договора.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Победителем закупки признается участник закупки, заявка на участие в закупке, окончательное предложение которого соответствует требованиям, установленным документацией о закупке, и заявка которого по результатам </w:t>
      </w:r>
      <w:r>
        <w:rPr>
          <w:rFonts w:ascii="Times New Roman" w:hAnsi="Times New Roman" w:cs="Times New Roman"/>
          <w:b w:val="0"/>
          <w:bCs w:val="0"/>
        </w:rPr>
        <w:t xml:space="preserve">сопоставления заявок, окончательных предложений на основании указанных в документации о такой закупке критериев оценки содержит лучшие условия исполнения договора.</w:t>
      </w:r>
      <w:r>
        <w:rPr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 xml:space="preserve">В случае если итоговый рейтинг двух или более заявок будет одинаковым, победителем закупки п</w:t>
      </w:r>
      <w:r>
        <w:rPr>
          <w:rFonts w:ascii="Times New Roman" w:hAnsi="Times New Roman" w:cs="Times New Roman"/>
          <w:b w:val="0"/>
        </w:rPr>
        <w:t xml:space="preserve">ризнается участник, заявка на участие в закупке которого поступила ранее других заявок.</w:t>
      </w:r>
      <w:r>
        <w:rPr>
          <w:rFonts w:ascii="Times New Roman" w:hAnsi="Times New Roman" w:cs="Times New Roman"/>
          <w:b w:val="0"/>
        </w:rPr>
      </w:r>
    </w:p>
    <w:p>
      <w:pPr>
        <w:pStyle w:val="1116"/>
        <w:numPr>
          <w:ilvl w:val="2"/>
          <w:numId w:val="9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По результатам осуществления оценки и сопоставления заявок </w:t>
      </w:r>
      <w:r>
        <w:rPr>
          <w:rFonts w:ascii="Times New Roman" w:hAnsi="Times New Roman" w:cs="Times New Roman"/>
          <w:b w:val="0"/>
          <w:bCs w:val="0"/>
        </w:rPr>
        <w:t xml:space="preserve">составляется итоговый протокол</w:t>
      </w:r>
      <w:r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  <w:b w:val="0"/>
          <w:bCs w:val="0"/>
        </w:rPr>
        <w:t xml:space="preserve">в котором указывается информация, предусмотренная Законом 223-ФЗ и Положением</w:t>
      </w:r>
      <w:r>
        <w:rPr>
          <w:rFonts w:ascii="Times New Roman" w:hAnsi="Times New Roman" w:cs="Times New Roman"/>
          <w:b w:val="0"/>
          <w:bCs w:val="0"/>
        </w:rPr>
        <w:t xml:space="preserve"> о закупке Заказчика, в том числе </w:t>
      </w:r>
      <w:r>
        <w:rPr>
          <w:rFonts w:ascii="Times New Roman" w:hAnsi="Times New Roman" w:cs="Times New Roman"/>
          <w:b w:val="0"/>
        </w:rPr>
        <w:t xml:space="preserve">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закупке, а также о присвоении таким заявкам значения по каждому из пред</w:t>
      </w:r>
      <w:r>
        <w:rPr>
          <w:rFonts w:ascii="Times New Roman" w:hAnsi="Times New Roman" w:cs="Times New Roman"/>
          <w:b w:val="0"/>
        </w:rPr>
        <w:t xml:space="preserve">усмотренных критериев оценки таких заявок</w:t>
      </w:r>
      <w:r>
        <w:rPr>
          <w:rFonts w:ascii="Times New Roman" w:hAnsi="Times New Roman" w:cs="Times New Roman"/>
          <w:b w:val="0"/>
          <w:bCs w:val="0"/>
        </w:rPr>
        <w:t xml:space="preserve">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Если до момента подписания договора по результатам закупки и размещения информации о заключении такого договора на ЕИС (в случае если размещение сведений о договоре на ЕИС является обязательным) будет выявлено, ч</w:t>
      </w:r>
      <w:r>
        <w:rPr>
          <w:rFonts w:ascii="Times New Roman" w:hAnsi="Times New Roman" w:cs="Times New Roman"/>
          <w:b w:val="0"/>
          <w:bCs w:val="0"/>
        </w:rPr>
        <w:t xml:space="preserve">то Закупочная комиссия при проведении закупки допустила нарушение норм действующего законодательства, Стандарта и/или документации о закупке, повлекшие необоснованное решение о выборе победителя закупки (единственного участника закупки, соответствующего тр</w:t>
      </w:r>
      <w:r>
        <w:rPr>
          <w:rFonts w:ascii="Times New Roman" w:hAnsi="Times New Roman" w:cs="Times New Roman"/>
          <w:b w:val="0"/>
          <w:bCs w:val="0"/>
        </w:rPr>
        <w:t xml:space="preserve">ебованиям документации о закупке) Закупочная комиссия обязана отменить ранее принятые решения и провести процедуры рассмотрения, оценки и сопоставления заявок повторно с учетом выявленных нарушений.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81" w:name="_Toc337279"/>
      <w:r/>
      <w:bookmarkStart w:id="182" w:name="_Toc126935847"/>
      <w:r/>
      <w:bookmarkStart w:id="183" w:name="_Toc132974762"/>
      <w:r/>
      <w:bookmarkStart w:id="184" w:name="_Toc243045063"/>
      <w:r>
        <w:rPr>
          <w:sz w:val="24"/>
          <w:szCs w:val="24"/>
        </w:rPr>
        <w:t xml:space="preserve">Проведение преддоговорных переговоров</w:t>
      </w:r>
      <w:bookmarkEnd w:id="181"/>
      <w:r/>
      <w:bookmarkEnd w:id="182"/>
      <w:r/>
      <w:bookmarkEnd w:id="183"/>
      <w:r/>
      <w:bookmarkEnd w:id="184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widowControl w:val="off"/>
        <w:tabs>
          <w:tab w:val="num" w:pos="0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После подведения и</w:t>
      </w:r>
      <w:r>
        <w:rPr>
          <w:rFonts w:ascii="Times New Roman" w:hAnsi="Times New Roman" w:cs="Times New Roman"/>
          <w:b w:val="0"/>
          <w:bCs w:val="0"/>
        </w:rPr>
        <w:t xml:space="preserve">тогов закупки Заказчик по решению Закупочной комиссии предлагает участнику, признанному победителем (участником закупки, с которым планируется заключить договор) провести преддоговорные переговоры. Участник, признанный победителем (участник закупки, с кото</w:t>
      </w:r>
      <w:r>
        <w:rPr>
          <w:rFonts w:ascii="Times New Roman" w:hAnsi="Times New Roman" w:cs="Times New Roman"/>
          <w:b w:val="0"/>
          <w:bCs w:val="0"/>
        </w:rPr>
        <w:t xml:space="preserve">рым планируется заключить договор) по своему усмотрению принимает решение об участии в таких переговорах.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tabs>
          <w:tab w:val="num" w:pos="0" w:leader="none"/>
        </w:tabs>
      </w:pPr>
      <w:r>
        <w:rPr>
          <w:rFonts w:ascii="Times New Roman" w:hAnsi="Times New Roman" w:cs="Times New Roman"/>
          <w:b w:val="0"/>
          <w:bCs w:val="0"/>
        </w:rPr>
        <w:t xml:space="preserve">Преддоговорные переговоры проводятся с целью снижения цены договора без изменения объема закупаемой продукции и иных условий исполнения договора. Резу</w:t>
      </w:r>
      <w:r>
        <w:rPr>
          <w:rFonts w:ascii="Times New Roman" w:hAnsi="Times New Roman" w:cs="Times New Roman"/>
          <w:b w:val="0"/>
          <w:bCs w:val="0"/>
        </w:rPr>
        <w:t xml:space="preserve">льтаты проведения преддоговорных переговоров оформляются соглашением о проведении преддоговорных переговоров. Проведение преддоговорных переговоров не должно давать преимущественных условий победителю (участнику закупки, с которым планируется заключить дог</w:t>
      </w:r>
      <w:r>
        <w:rPr>
          <w:rFonts w:ascii="Times New Roman" w:hAnsi="Times New Roman" w:cs="Times New Roman"/>
          <w:b w:val="0"/>
          <w:bCs w:val="0"/>
        </w:rPr>
        <w:t xml:space="preserve">овор). </w:t>
      </w:r>
      <w:r/>
    </w:p>
    <w:p>
      <w:r>
        <w:t xml:space="preserve"> </w:t>
      </w:r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85" w:name="_Toc126935848"/>
      <w:r/>
      <w:bookmarkStart w:id="186" w:name="_Toc132974763"/>
      <w:r/>
      <w:bookmarkStart w:id="187" w:name="_Toc243045064"/>
      <w:r>
        <w:rPr>
          <w:sz w:val="24"/>
          <w:szCs w:val="24"/>
        </w:rPr>
        <w:t xml:space="preserve">Признание закупки несостоявшейся</w:t>
      </w:r>
      <w:bookmarkEnd w:id="185"/>
      <w:r/>
      <w:bookmarkEnd w:id="186"/>
      <w:r/>
      <w:bookmarkEnd w:id="187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Основания, порядок и последствия признания закупки несостоявшейся установлены Положением о закупке Заказчика. 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88" w:name="_Toc126935849"/>
      <w:r/>
      <w:bookmarkStart w:id="189" w:name="_Toc132974764"/>
      <w:r/>
      <w:bookmarkStart w:id="190" w:name="_Toc243045065"/>
      <w:r>
        <w:rPr>
          <w:sz w:val="24"/>
          <w:szCs w:val="24"/>
        </w:rPr>
        <w:t xml:space="preserve">Рассмотрение жалоб и обращений участников закупки</w:t>
      </w:r>
      <w:bookmarkEnd w:id="188"/>
      <w:r/>
      <w:bookmarkEnd w:id="189"/>
      <w:r/>
      <w:bookmarkEnd w:id="190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Рассмотрение жалоб и обращений участников закупки осуществляется в порядке, предусмотренном По</w:t>
      </w:r>
      <w:r>
        <w:rPr>
          <w:rFonts w:ascii="Times New Roman" w:hAnsi="Times New Roman" w:cs="Times New Roman"/>
          <w:b w:val="0"/>
          <w:bCs w:val="0"/>
        </w:rPr>
        <w:t xml:space="preserve">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 необходимости, после завершения процедуры закупки участник вправе направить в адрес Заказчика, указанный в извещении о закупке и документации о закупке запрос о разъяснении причин отклонения заявки такого участника. З</w:t>
      </w:r>
      <w:r>
        <w:rPr>
          <w:rFonts w:ascii="Times New Roman" w:hAnsi="Times New Roman" w:cs="Times New Roman"/>
          <w:b w:val="0"/>
          <w:bCs w:val="0"/>
        </w:rPr>
        <w:t xml:space="preserve">аказчик обязан ответить на такой запрос в срок не позднее 10 (десяти) дней с момента получения такого запроса.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4"/>
        <w:numPr>
          <w:ilvl w:val="0"/>
          <w:numId w:val="1"/>
        </w:numPr>
        <w:ind w:left="0" w:firstLine="567"/>
        <w:jc w:val="left"/>
        <w:keepNext w:val="0"/>
        <w:spacing w:before="0" w:after="0"/>
        <w:rPr>
          <w:sz w:val="24"/>
          <w:szCs w:val="24"/>
        </w:rPr>
      </w:pPr>
      <w:r/>
      <w:bookmarkStart w:id="191" w:name="Par110"/>
      <w:r/>
      <w:bookmarkStart w:id="192" w:name="Par144"/>
      <w:r/>
      <w:bookmarkStart w:id="193" w:name="_Toc123405485"/>
      <w:r/>
      <w:bookmarkStart w:id="194" w:name="_Toc166101211"/>
      <w:r/>
      <w:bookmarkStart w:id="195" w:name="_Toc126935850"/>
      <w:r/>
      <w:bookmarkStart w:id="196" w:name="_Toc132974765"/>
      <w:r/>
      <w:bookmarkStart w:id="197" w:name="_Toc243045066"/>
      <w:r/>
      <w:bookmarkEnd w:id="165"/>
      <w:r/>
      <w:bookmarkEnd w:id="166"/>
      <w:r/>
      <w:bookmarkEnd w:id="191"/>
      <w:r/>
      <w:bookmarkEnd w:id="192"/>
      <w:r>
        <w:rPr>
          <w:sz w:val="24"/>
          <w:szCs w:val="24"/>
        </w:rPr>
        <w:t xml:space="preserve">ЗАКЛЮЧЕНИЕ, ИЗМЕНЕНИЕ И РАСТОРЖЕНИЕ ДОГОВОРА</w:t>
      </w:r>
      <w:bookmarkEnd w:id="193"/>
      <w:r/>
      <w:bookmarkEnd w:id="194"/>
      <w:r/>
      <w:bookmarkEnd w:id="195"/>
      <w:r/>
      <w:bookmarkEnd w:id="196"/>
      <w:r/>
      <w:bookmarkEnd w:id="197"/>
      <w:r/>
      <w:r>
        <w:rPr>
          <w:sz w:val="24"/>
          <w:szCs w:val="24"/>
        </w:rPr>
      </w:r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198" w:name="_Toc131309087"/>
      <w:r/>
      <w:bookmarkStart w:id="199" w:name="_Toc126935851"/>
      <w:r/>
      <w:bookmarkStart w:id="200" w:name="_Toc132974766"/>
      <w:r/>
      <w:bookmarkStart w:id="201" w:name="_Ref130891676"/>
      <w:r/>
      <w:bookmarkStart w:id="202" w:name="_Toc243045067"/>
      <w:r>
        <w:rPr>
          <w:sz w:val="24"/>
          <w:szCs w:val="24"/>
        </w:rPr>
        <w:t xml:space="preserve">Срок и порядок заключения договора</w:t>
      </w:r>
      <w:bookmarkEnd w:id="198"/>
      <w:r/>
      <w:bookmarkEnd w:id="199"/>
      <w:r/>
      <w:bookmarkEnd w:id="200"/>
      <w:r/>
      <w:bookmarkEnd w:id="202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Договор по результатам закупки заключается на условиях, которые </w:t>
      </w:r>
      <w:r>
        <w:rPr>
          <w:rFonts w:ascii="Times New Roman" w:hAnsi="Times New Roman" w:cs="Times New Roman"/>
          <w:b w:val="0"/>
        </w:rPr>
        <w:t xml:space="preserve">предусмотрены проектом договора, документацией о закупке, извещением о закупке и заявкой победителя такой закупки, с которым заключается договор. По результатам закупки с участником может быть заключено также несколько договоров. Заказчик вправе заключить </w:t>
      </w:r>
      <w:r>
        <w:rPr>
          <w:rFonts w:ascii="Times New Roman" w:hAnsi="Times New Roman" w:cs="Times New Roman"/>
          <w:b w:val="0"/>
        </w:rPr>
        <w:t xml:space="preserve">договор с участником, занявшим второе место в ранжировке, в случае уклонения первоначального победителя от заключения договора с Заказчиком. В этом случае обязанность заключить договор с Заказчиком возникает у участника, занявшего второе место в ранжировке</w:t>
      </w:r>
      <w:r>
        <w:rPr>
          <w:rFonts w:ascii="Times New Roman" w:hAnsi="Times New Roman" w:cs="Times New Roman"/>
          <w:b w:val="0"/>
        </w:rPr>
        <w:t xml:space="preserve">, при обращении к нему Заказчика с предложением заключить договор. В случае, если по результатам закупочной процедуры победителем признается коллективный участник, договор подписывает лидер от лица коллективного участника в соответствии с соглашением (п. 3</w:t>
      </w:r>
      <w:r>
        <w:rPr>
          <w:rFonts w:ascii="Times New Roman" w:hAnsi="Times New Roman" w:cs="Times New Roman"/>
          <w:b w:val="0"/>
        </w:rPr>
        <w:t xml:space="preserve">.4.3 части I «ОБЩИЕ УСЛОВИЯ ПРОВЕДЕНИЯ ЗАКУПКИ»).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Заказчиком может быть предусмотрена возможность заключения договора по результатам закупки с несколькими участниками, признанными победителями закупки. Информация об установлении такой возможности указывает</w:t>
      </w:r>
      <w:r>
        <w:rPr>
          <w:rFonts w:ascii="Times New Roman" w:hAnsi="Times New Roman" w:cs="Times New Roman"/>
          <w:b w:val="0"/>
          <w:bCs w:val="0"/>
        </w:rPr>
        <w:t xml:space="preserve">ся в пункте 21 части II «ИНФОРМАЦИОННАЯ КАРТА ЗАКУПКИ». Порядок выбора нескольких победителей закупки устанавливается в Приложении 1 к части </w:t>
      </w:r>
      <w:r>
        <w:rPr>
          <w:rFonts w:ascii="Times New Roman" w:hAnsi="Times New Roman" w:cs="Times New Roman"/>
          <w:b w:val="0"/>
          <w:bCs w:val="0"/>
          <w:lang w:val="en-US"/>
        </w:rPr>
        <w:t xml:space="preserve">II</w:t>
      </w:r>
      <w:r>
        <w:rPr>
          <w:rFonts w:ascii="Times New Roman" w:hAnsi="Times New Roman" w:cs="Times New Roman"/>
          <w:b w:val="0"/>
          <w:bCs w:val="0"/>
        </w:rPr>
        <w:t xml:space="preserve">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Договор по результатам закупки заключается в срок не ранее чем через десять дней</w:t>
      </w:r>
      <w:r>
        <w:rPr>
          <w:rFonts w:ascii="Times New Roman" w:hAnsi="Times New Roman" w:cs="Times New Roman"/>
          <w:b w:val="0"/>
          <w:bCs w:val="0"/>
        </w:rPr>
        <w:t xml:space="preserve"> и не позднее чем через двадцать дней с даты размещения в ЕИС итогового протокола.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</w:t>
      </w:r>
      <w:r>
        <w:rPr>
          <w:rFonts w:ascii="Times New Roman" w:hAnsi="Times New Roman" w:cs="Times New Roman"/>
          <w:b w:val="0"/>
          <w:bCs w:val="0"/>
        </w:rPr>
        <w:t xml:space="preserve">польном органе либо в судебном порядке действий (бездействия) Заказчика, закупочной комиссии, оператора электронной площадки договор должен быть заключен в сроки, установленные законодательством.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tabs>
          <w:tab w:val="clear" w:pos="170" w:leader="none"/>
          <w:tab w:val="num" w:pos="454" w:leader="none"/>
        </w:tabs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 заключения договора участник, признанный победителем, дол</w:t>
      </w:r>
      <w:r>
        <w:rPr>
          <w:rFonts w:ascii="Times New Roman" w:hAnsi="Times New Roman" w:cs="Times New Roman"/>
          <w:b w:val="0"/>
          <w:bCs w:val="0"/>
        </w:rPr>
        <w:t xml:space="preserve">жен направить Заказчику: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42"/>
        </w:numPr>
        <w:ind w:left="1418" w:hanging="851"/>
        <w:jc w:val="both"/>
        <w:rPr>
          <w:bCs/>
        </w:rPr>
      </w:pPr>
      <w:r>
        <w:t xml:space="preserve">сведения в отношении всей цепочки своих собственников, включая конечных бенефициаров, а также в отношении состава исполнительных органов (по форме приложения № 6 части </w:t>
      </w:r>
      <w:r>
        <w:rPr>
          <w:lang w:val="en-US"/>
        </w:rPr>
        <w:t xml:space="preserve">IV</w:t>
      </w:r>
      <w:r>
        <w:t xml:space="preserve"> «Проект договора» Настоящей документации о закупке) с предоставлением подтверждающих документов;</w:t>
      </w:r>
      <w:r>
        <w:rPr>
          <w:bCs/>
        </w:rPr>
      </w:r>
    </w:p>
    <w:p>
      <w:pPr>
        <w:pStyle w:val="1495"/>
        <w:numPr>
          <w:ilvl w:val="0"/>
          <w:numId w:val="42"/>
        </w:numPr>
        <w:ind w:left="1418" w:hanging="851"/>
        <w:jc w:val="both"/>
      </w:pPr>
      <w:r>
        <w:t xml:space="preserve">согласие на обработку персональных данных по форме приложения № 6.1 части IV «Проект договора» Настоящей документации о закупке.</w:t>
      </w:r>
      <w:r/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направляет участнику</w:t>
      </w:r>
      <w:r>
        <w:rPr>
          <w:rFonts w:ascii="Times New Roman" w:hAnsi="Times New Roman" w:cs="Times New Roman"/>
          <w:b w:val="0"/>
          <w:bCs w:val="0"/>
        </w:rPr>
        <w:t xml:space="preserve"> закупки по адресу, указанному в заявке такого участника, проект договора не позднее 10 (десяти) дней с даты размещения в ЕИС итогового протокола  Участник заполняет все приложения к договору, которые содержат указание на окончательную цену договора (стоим</w:t>
      </w:r>
      <w:r>
        <w:rPr>
          <w:rFonts w:ascii="Times New Roman" w:hAnsi="Times New Roman" w:cs="Times New Roman"/>
          <w:b w:val="0"/>
          <w:bCs w:val="0"/>
        </w:rPr>
        <w:t xml:space="preserve">ость товаров/работ/услуг), предложенную участником в ходе проведения закупки, подписывает проект договора и направляет комплект документов Заказчику.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1"/>
        </w:numPr>
        <w:ind w:left="0" w:firstLine="567"/>
        <w:jc w:val="both"/>
        <w:keepNext w:val="0"/>
        <w:spacing w:after="0"/>
        <w:rPr>
          <w:sz w:val="24"/>
          <w:szCs w:val="24"/>
        </w:rPr>
      </w:pPr>
      <w:r/>
      <w:bookmarkStart w:id="203" w:name="_Toc373399298"/>
      <w:r/>
      <w:bookmarkStart w:id="204" w:name="_Toc376160927"/>
      <w:r/>
      <w:bookmarkStart w:id="205" w:name="_Toc126935852"/>
      <w:r/>
      <w:bookmarkStart w:id="206" w:name="_Toc132974767"/>
      <w:r/>
      <w:bookmarkStart w:id="207" w:name="_Toc243045068"/>
      <w:r>
        <w:rPr>
          <w:sz w:val="24"/>
          <w:szCs w:val="24"/>
        </w:rPr>
        <w:t xml:space="preserve">Обеспечение исполнения договора, порядок предоставления такого обеспечения, требования к такому обеспечен</w:t>
      </w:r>
      <w:r>
        <w:rPr>
          <w:sz w:val="24"/>
          <w:szCs w:val="24"/>
        </w:rPr>
        <w:t xml:space="preserve">ию</w:t>
      </w:r>
      <w:bookmarkEnd w:id="203"/>
      <w:r/>
      <w:bookmarkEnd w:id="204"/>
      <w:r/>
      <w:bookmarkEnd w:id="205"/>
      <w:r/>
      <w:bookmarkEnd w:id="206"/>
      <w:r/>
      <w:bookmarkEnd w:id="207"/>
      <w:r/>
      <w:r>
        <w:rPr>
          <w:sz w:val="24"/>
          <w:szCs w:val="24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08" w:name="_Toc373343356"/>
      <w:r/>
      <w:bookmarkStart w:id="209" w:name="_Toc373343841"/>
      <w:r>
        <w:rPr>
          <w:rFonts w:ascii="Times New Roman" w:hAnsi="Times New Roman" w:cs="Times New Roman"/>
          <w:b w:val="0"/>
          <w:bCs w:val="0"/>
        </w:rPr>
        <w:t xml:space="preserve">Заказчик вправе установи</w:t>
      </w:r>
      <w:r>
        <w:rPr>
          <w:rFonts w:ascii="Times New Roman" w:hAnsi="Times New Roman" w:cs="Times New Roman"/>
          <w:b w:val="0"/>
          <w:bCs w:val="0"/>
        </w:rPr>
        <w:t xml:space="preserve">ть в документации о закупке требование к обеспечению исполнения договора. Информация об установлении требования о предоставлении обеспечения исполнения договора и размер такого обеспечения указывается в пункте 18 раздела II «ИНФОРМАЦИОННАЯ КАРТА ЗАКУПКИ». 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Обеспечение исполнения договора может быть представлено в форме внесения денежных средств на счет Заказчика, указанный в пункте 19 раздела II «ИНФОРМАЦИОННАЯ КАРТА ЗАКУПКИ» или в форме независимой гарантии. Выбор способа обеспечения осуществляется участни</w:t>
      </w:r>
      <w:r>
        <w:rPr>
          <w:rFonts w:ascii="Times New Roman" w:hAnsi="Times New Roman" w:cs="Times New Roman"/>
          <w:b w:val="0"/>
          <w:bCs w:val="0"/>
        </w:rPr>
        <w:t xml:space="preserve">ком закупки самостоятельно. Предоставление обеспечения иным, не указанным в настоящей документации о закупке способом не допускается.</w:t>
      </w:r>
      <w:bookmarkEnd w:id="208"/>
      <w:r/>
      <w:bookmarkEnd w:id="209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Срок предоставления обеспечения исполнение договора устанавливается в пункте 18 раздела II «ИНФОРМАЦИОННАЯ КАРТА ЗАКУПКИ».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1"/>
        </w:numPr>
        <w:ind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10" w:name="_Toc373343360"/>
      <w:r/>
      <w:bookmarkStart w:id="211" w:name="_Toc373343845"/>
      <w:r>
        <w:rPr>
          <w:rFonts w:ascii="Times New Roman" w:hAnsi="Times New Roman" w:cs="Times New Roman"/>
          <w:b w:val="0"/>
          <w:bCs w:val="0"/>
        </w:rPr>
        <w:t xml:space="preserve">Порядок возврата денежных средств по обеспечению исполнения договора установлен в проекте договора, являющегося неотъемлемой частью закупочной документации.</w:t>
      </w:r>
      <w:r>
        <w:rPr>
          <w:rFonts w:ascii="Times New Roman" w:hAnsi="Times New Roman" w:cs="Times New Roman"/>
          <w:b w:val="0"/>
          <w:bCs w:val="0"/>
        </w:rPr>
      </w:r>
    </w:p>
    <w:p>
      <w:r/>
      <w:r/>
    </w:p>
    <w:p>
      <w:pPr>
        <w:pStyle w:val="1115"/>
        <w:numPr>
          <w:ilvl w:val="1"/>
          <w:numId w:val="41"/>
        </w:numPr>
        <w:ind w:left="0" w:firstLine="567"/>
        <w:jc w:val="both"/>
        <w:keepNext w:val="0"/>
        <w:spacing w:after="0"/>
        <w:widowControl w:val="off"/>
        <w:rPr>
          <w:sz w:val="24"/>
          <w:szCs w:val="24"/>
        </w:rPr>
      </w:pPr>
      <w:r/>
      <w:bookmarkStart w:id="212" w:name="_Toc373399299"/>
      <w:r/>
      <w:bookmarkStart w:id="213" w:name="_Toc376160928"/>
      <w:r/>
      <w:bookmarkStart w:id="214" w:name="_Ref536100618"/>
      <w:r/>
      <w:bookmarkStart w:id="215" w:name="_Toc38554206"/>
      <w:r/>
      <w:bookmarkStart w:id="216" w:name="_Toc106204792"/>
      <w:r/>
      <w:bookmarkStart w:id="217" w:name="_Toc126935853"/>
      <w:r/>
      <w:bookmarkStart w:id="218" w:name="_Toc132974768"/>
      <w:r/>
      <w:bookmarkStart w:id="219" w:name="_Toc243045069"/>
      <w:r/>
      <w:bookmarkEnd w:id="210"/>
      <w:r/>
      <w:bookmarkEnd w:id="211"/>
      <w:r>
        <w:rPr>
          <w:sz w:val="24"/>
          <w:szCs w:val="24"/>
        </w:rPr>
        <w:t xml:space="preserve">Требования к условиям независимой гарантии, выданной в качестве обеспечения исполнения договора</w:t>
      </w:r>
      <w:bookmarkEnd w:id="212"/>
      <w:r/>
      <w:bookmarkEnd w:id="213"/>
      <w:r/>
      <w:bookmarkEnd w:id="214"/>
      <w:r/>
      <w:bookmarkEnd w:id="215"/>
      <w:r/>
      <w:bookmarkEnd w:id="216"/>
      <w:r/>
      <w:bookmarkEnd w:id="217"/>
      <w:r/>
      <w:bookmarkEnd w:id="218"/>
      <w:r/>
      <w:bookmarkEnd w:id="219"/>
      <w:r/>
      <w:r>
        <w:rPr>
          <w:sz w:val="24"/>
          <w:szCs w:val="24"/>
        </w:rPr>
      </w:r>
    </w:p>
    <w:p>
      <w:pPr>
        <w:pStyle w:val="1116"/>
        <w:numPr>
          <w:ilvl w:val="2"/>
          <w:numId w:val="50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</w:t>
      </w:r>
      <w:r>
        <w:rPr>
          <w:rFonts w:ascii="Times New Roman" w:hAnsi="Times New Roman" w:cs="Times New Roman"/>
          <w:b w:val="0"/>
          <w:bCs w:val="0"/>
        </w:rPr>
        <w:t xml:space="preserve">ри выборе участником закупки способа обеспечения исполнения договора в виде независимой гарантии участник должен предоставить независимую гарантию, требования к которой установлены в проекте договора, являющегося неотъемлемой частью закупочной документации</w:t>
      </w:r>
      <w:r>
        <w:rPr>
          <w:rFonts w:ascii="Times New Roman" w:hAnsi="Times New Roman" w:cs="Times New Roman"/>
          <w:b w:val="0"/>
          <w:bCs w:val="0"/>
        </w:rPr>
        <w:t xml:space="preserve">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50"/>
        </w:numPr>
        <w:ind w:left="0" w:firstLine="567"/>
        <w:keepNext w:val="0"/>
        <w:spacing w:before="0" w:after="0"/>
        <w:widowControl w:val="off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Гарант, выдающий независимую гарантию, должен отвечать всем нижеследующим требованиям</w:t>
      </w:r>
      <w:r>
        <w:rPr>
          <w:rStyle w:val="1382"/>
          <w:b w:val="0"/>
          <w:bCs w:val="0"/>
        </w:rPr>
        <w:footnoteReference w:id="8"/>
      </w:r>
      <w:r>
        <w:rPr>
          <w:rFonts w:ascii="Times New Roman" w:hAnsi="Times New Roman" w:cs="Times New Roman"/>
          <w:b w:val="0"/>
          <w:bCs w:val="0"/>
        </w:rPr>
        <w:t xml:space="preserve">: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495"/>
        <w:numPr>
          <w:ilvl w:val="0"/>
          <w:numId w:val="49"/>
        </w:numPr>
        <w:ind w:left="0" w:firstLine="709"/>
        <w:jc w:val="both"/>
        <w:tabs>
          <w:tab w:val="left" w:pos="0" w:leader="none"/>
          <w:tab w:val="left" w:pos="1418" w:leader="none"/>
          <w:tab w:val="left" w:pos="1701" w:leader="none"/>
        </w:tabs>
        <w:rPr>
          <w:bCs/>
        </w:rPr>
      </w:pPr>
      <w:r>
        <w:rPr>
          <w:bCs/>
        </w:rPr>
        <w:t xml:space="preserve">должен обладать действующей лицензией на банковскую деятельность, выданной Банком России</w:t>
      </w:r>
      <w:r>
        <w:rPr>
          <w:bCs/>
          <w:vertAlign w:val="superscript"/>
        </w:rPr>
        <w:footnoteReference w:id="9"/>
      </w:r>
      <w:r>
        <w:rPr>
          <w:bCs/>
          <w:vertAlign w:val="superscript"/>
        </w:rPr>
        <w:t xml:space="preserve">,</w:t>
      </w:r>
      <w:r>
        <w:rPr>
          <w:bCs/>
        </w:rPr>
        <w:t xml:space="preserve"> и в отношении данной кредитной организации не должно действовать каких-ли</w:t>
      </w:r>
      <w:r>
        <w:rPr>
          <w:bCs/>
        </w:rPr>
        <w:t xml:space="preserve">бо установленных в индивидуальном порядке Банком России ограничений на проведение отдельных операций</w:t>
      </w:r>
      <w:r>
        <w:rPr>
          <w:bCs/>
          <w:vertAlign w:val="superscript"/>
        </w:rPr>
        <w:footnoteReference w:id="10"/>
      </w:r>
      <w:r>
        <w:rPr>
          <w:bCs/>
        </w:rPr>
        <w:t xml:space="preserve">;</w:t>
      </w:r>
      <w:r>
        <w:rPr>
          <w:bCs/>
        </w:rPr>
      </w:r>
    </w:p>
    <w:p>
      <w:pPr>
        <w:pStyle w:val="1495"/>
        <w:numPr>
          <w:ilvl w:val="0"/>
          <w:numId w:val="49"/>
        </w:numPr>
        <w:ind w:left="0" w:firstLine="709"/>
        <w:jc w:val="both"/>
        <w:tabs>
          <w:tab w:val="left" w:pos="0" w:leader="none"/>
          <w:tab w:val="left" w:pos="1418" w:leader="none"/>
          <w:tab w:val="left" w:pos="1701" w:leader="none"/>
        </w:tabs>
        <w:rPr>
          <w:bCs/>
        </w:rPr>
      </w:pPr>
      <w:r>
        <w:rPr>
          <w:bCs/>
        </w:rPr>
        <w:t xml:space="preserve">не находится в процессе слияния, присоединения, санации (финансового оздоровления), внешнего управления, за исключением случаев, когда финансовое оздоро</w:t>
      </w:r>
      <w:r>
        <w:rPr>
          <w:bCs/>
        </w:rPr>
        <w:t xml:space="preserve">вление кредитной организации осуществляется с привлечением Фонда консолидации банковского сектора, а также в случаях, когда в рамках финансового оздоровления Банком России принято решение о гарантировании непрерывности деятельности банка;</w:t>
      </w:r>
      <w:r>
        <w:rPr>
          <w:bCs/>
        </w:rPr>
      </w:r>
    </w:p>
    <w:p>
      <w:pPr>
        <w:pStyle w:val="1495"/>
        <w:numPr>
          <w:ilvl w:val="0"/>
          <w:numId w:val="49"/>
        </w:numPr>
        <w:ind w:left="0" w:firstLine="709"/>
        <w:jc w:val="both"/>
        <w:tabs>
          <w:tab w:val="left" w:pos="0" w:leader="none"/>
          <w:tab w:val="left" w:pos="1418" w:leader="none"/>
          <w:tab w:val="left" w:pos="1701" w:leader="none"/>
        </w:tabs>
        <w:rPr>
          <w:bCs/>
        </w:rPr>
      </w:pPr>
      <w:r>
        <w:rPr>
          <w:bCs/>
        </w:rPr>
        <w:t xml:space="preserve">не находится в пр</w:t>
      </w:r>
      <w:r>
        <w:rPr>
          <w:bCs/>
        </w:rPr>
        <w:t xml:space="preserve">оцессе ликвидации или банкротства;</w:t>
      </w:r>
      <w:r>
        <w:rPr>
          <w:bCs/>
        </w:rPr>
      </w:r>
    </w:p>
    <w:p>
      <w:pPr>
        <w:pStyle w:val="1495"/>
        <w:numPr>
          <w:ilvl w:val="0"/>
          <w:numId w:val="49"/>
        </w:numPr>
        <w:ind w:left="0" w:firstLine="709"/>
        <w:jc w:val="both"/>
        <w:tabs>
          <w:tab w:val="left" w:pos="1418" w:leader="none"/>
          <w:tab w:val="left" w:pos="1701" w:leader="none"/>
        </w:tabs>
        <w:rPr>
          <w:bCs/>
        </w:rPr>
      </w:pPr>
      <w:r>
        <w:rPr>
          <w:bCs/>
        </w:rPr>
        <w:t xml:space="preserve">для банков, банковская лицензия которых предполагает возможность работы с денежными средствами физических лиц - кредитная организация является участником Системы страхования вкладов</w:t>
      </w:r>
      <w:r>
        <w:rPr>
          <w:bCs/>
          <w:sz w:val="28"/>
          <w:szCs w:val="28"/>
          <w:vertAlign w:val="superscript"/>
          <w:lang w:eastAsia="en-US"/>
        </w:rPr>
        <w:footnoteReference w:id="11"/>
      </w:r>
      <w:r>
        <w:rPr>
          <w:bCs/>
        </w:rPr>
        <w:t xml:space="preserve">;</w:t>
      </w:r>
      <w:r>
        <w:rPr>
          <w:bCs/>
        </w:rPr>
      </w:r>
    </w:p>
    <w:p>
      <w:pPr>
        <w:pStyle w:val="1495"/>
        <w:numPr>
          <w:ilvl w:val="0"/>
          <w:numId w:val="49"/>
        </w:numPr>
        <w:ind w:left="0" w:firstLine="709"/>
        <w:jc w:val="both"/>
        <w:tabs>
          <w:tab w:val="left" w:pos="1418" w:leader="none"/>
          <w:tab w:val="left" w:pos="1701" w:leader="none"/>
        </w:tabs>
        <w:rPr>
          <w:bCs/>
        </w:rPr>
      </w:pPr>
      <w:r>
        <w:rPr>
          <w:bCs/>
        </w:rPr>
        <w:t xml:space="preserve">свободный остаток лимита на банк-гар</w:t>
      </w:r>
      <w:r>
        <w:rPr>
          <w:bCs/>
        </w:rPr>
        <w:t xml:space="preserve">ант, установленный организационно-распорядительными документами Публичного акционерного общества «Федеральная сетевая компания – Россети», превышает либо равен сумме независимой гарантии, планируемой к принятию</w:t>
      </w:r>
      <w:r>
        <w:rPr>
          <w:rStyle w:val="1382"/>
          <w:bCs/>
        </w:rPr>
        <w:footnoteReference w:id="12"/>
      </w:r>
      <w:r>
        <w:rPr>
          <w:bCs/>
        </w:rPr>
        <w:t xml:space="preserve">;</w:t>
      </w:r>
      <w:r>
        <w:rPr>
          <w:bCs/>
        </w:rPr>
      </w:r>
    </w:p>
    <w:p>
      <w:pPr>
        <w:pStyle w:val="1495"/>
        <w:numPr>
          <w:ilvl w:val="0"/>
          <w:numId w:val="49"/>
        </w:numPr>
        <w:ind w:left="0" w:firstLine="709"/>
        <w:jc w:val="both"/>
        <w:tabs>
          <w:tab w:val="left" w:pos="1418" w:leader="none"/>
          <w:tab w:val="left" w:pos="1701" w:leader="none"/>
        </w:tabs>
        <w:rPr>
          <w:bCs/>
        </w:rPr>
      </w:pPr>
      <w:r>
        <w:rPr>
          <w:bCs/>
        </w:rPr>
        <w:t xml:space="preserve">должен соответствовать требованиям к банкам-гарантам в зависимости от вида предоставляемой независимой гарантии согласно таблице 1:</w:t>
      </w:r>
      <w:r>
        <w:rPr>
          <w:bCs/>
        </w:rPr>
      </w:r>
    </w:p>
    <w:p>
      <w:pPr>
        <w:ind w:firstLine="709"/>
        <w:jc w:val="right"/>
        <w:spacing w:after="120"/>
        <w:tabs>
          <w:tab w:val="left" w:pos="1560" w:leader="none"/>
          <w:tab w:val="left" w:pos="1701" w:leader="none"/>
          <w:tab w:val="num" w:pos="2422" w:leader="none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Таблица 1</w:t>
      </w:r>
      <w:r>
        <w:rPr>
          <w:bCs/>
          <w:sz w:val="20"/>
          <w:szCs w:val="20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435"/>
        <w:gridCol w:w="2003"/>
        <w:gridCol w:w="1717"/>
        <w:gridCol w:w="2193"/>
      </w:tblGrid>
      <w:tr>
        <w:tblPrEx/>
        <w:trPr>
          <w:tblHeader/>
        </w:trPr>
        <w:tc>
          <w:tcPr>
            <w:tcW w:w="183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Критерии</w:t>
            </w:r>
            <w:r>
              <w:rPr>
                <w:rStyle w:val="1382"/>
                <w:b/>
                <w:bCs/>
                <w:sz w:val="16"/>
                <w:szCs w:val="16"/>
                <w:lang w:eastAsia="en-US"/>
              </w:rPr>
              <w:footnoteReference w:id="13"/>
            </w:r>
            <w:r>
              <w:rPr>
                <w:b/>
                <w:bCs/>
                <w:sz w:val="16"/>
                <w:szCs w:val="16"/>
                <w:lang w:eastAsia="en-US"/>
              </w:rPr>
            </w:r>
          </w:p>
        </w:tc>
        <w:tc>
          <w:tcPr>
            <w:tcW w:w="107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Независимая гарантия на исполнение контрагентом обязательств по договору</w:t>
            </w:r>
            <w:r>
              <w:rPr>
                <w:b/>
                <w:bCs/>
                <w:sz w:val="16"/>
                <w:szCs w:val="16"/>
                <w:lang w:eastAsia="en-US"/>
              </w:rPr>
            </w:r>
          </w:p>
        </w:tc>
        <w:tc>
          <w:tcPr>
            <w:tcW w:w="918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Независимая гарантия на возврат авансовых платежей</w:t>
            </w:r>
            <w:r>
              <w:rPr>
                <w:b/>
                <w:bCs/>
                <w:sz w:val="16"/>
                <w:szCs w:val="16"/>
                <w:lang w:eastAsia="en-US"/>
              </w:rPr>
            </w:r>
          </w:p>
        </w:tc>
        <w:tc>
          <w:tcPr>
            <w:tcW w:w="117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Независимая гарантия обеспечения гарантийных обязательств по договору</w:t>
            </w:r>
            <w:r>
              <w:rPr>
                <w:b/>
                <w:bCs/>
                <w:sz w:val="16"/>
                <w:szCs w:val="16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tcW w:w="183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Размер собственного капитала</w:t>
            </w:r>
            <w:r>
              <w:rPr>
                <w:bCs/>
                <w:sz w:val="18"/>
                <w:szCs w:val="18"/>
                <w:vertAlign w:val="superscript"/>
                <w:lang w:eastAsia="en-US"/>
              </w:rPr>
              <w:t xml:space="preserve"> </w:t>
            </w:r>
            <w:r>
              <w:rPr>
                <w:bCs/>
                <w:sz w:val="18"/>
                <w:szCs w:val="18"/>
                <w:lang w:eastAsia="en-US"/>
              </w:rPr>
              <w:t xml:space="preserve">банка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107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Не менее 10 млрд. руб.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918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Не </w:t>
            </w:r>
            <w:r>
              <w:rPr>
                <w:bCs/>
                <w:sz w:val="18"/>
                <w:szCs w:val="18"/>
                <w:lang w:eastAsia="en-US"/>
              </w:rPr>
              <w:t xml:space="preserve">менее 10 млрд. руб.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117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Не менее 10 млрд. руб.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tcW w:w="183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Кредитная организация входит в перечень банков, отвечающих требованиям для принятия независимых гарантий в целях налогообложения (в соответствии со статьей 74.1 Налогового кодекса)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107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Обязательный критерий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918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Обязательный критерий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117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Обязательный критерий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</w:tr>
      <w:tr>
        <w:tblPrEx/>
        <w:trPr>
          <w:tblHeader/>
        </w:trPr>
        <w:tc>
          <w:tcPr>
            <w:tcW w:w="183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Наличие </w:t>
            </w:r>
            <w:r>
              <w:rPr>
                <w:bCs/>
                <w:sz w:val="18"/>
                <w:szCs w:val="18"/>
                <w:lang w:eastAsia="en-US"/>
              </w:rPr>
              <w:t xml:space="preserve">долгосрочного кредитного рейтинга (в соответствии с таблицей 2)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107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Обязательный критерий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918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Обязательный критерий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  <w:tc>
          <w:tcPr>
            <w:tcW w:w="1173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widowControl w:val="off"/>
              <w:tabs>
                <w:tab w:val="left" w:pos="1080" w:leader="none"/>
              </w:tabs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Обязательный критерий</w:t>
            </w:r>
            <w:r>
              <w:rPr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ind w:firstLine="567"/>
        <w:spacing w:after="0"/>
        <w:tabs>
          <w:tab w:val="left" w:pos="1560" w:leader="none"/>
          <w:tab w:val="left" w:pos="1701" w:leader="none"/>
          <w:tab w:val="num" w:pos="2422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ind w:firstLine="567"/>
        <w:jc w:val="right"/>
        <w:spacing w:after="0"/>
        <w:tabs>
          <w:tab w:val="left" w:pos="1560" w:leader="none"/>
          <w:tab w:val="left" w:pos="1701" w:leader="none"/>
          <w:tab w:val="num" w:pos="2422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Таблица 2</w:t>
      </w:r>
      <w:r>
        <w:rPr>
          <w:bCs/>
          <w:sz w:val="22"/>
          <w:szCs w:val="22"/>
        </w:rPr>
      </w:r>
    </w:p>
    <w:p>
      <w:pPr>
        <w:ind w:firstLine="567"/>
        <w:spacing w:after="0"/>
        <w:tabs>
          <w:tab w:val="left" w:pos="1560" w:leader="none"/>
          <w:tab w:val="left" w:pos="1701" w:leader="none"/>
          <w:tab w:val="num" w:pos="2422" w:leader="none"/>
        </w:tabs>
        <w:rPr>
          <w:bCs/>
        </w:rPr>
      </w:pPr>
      <w:r>
        <w:rPr>
          <w:bCs/>
        </w:rPr>
        <w:t xml:space="preserve">Наличие не менее одного долгосрочного кредитного рейтинга по национальной шкале, присвоенного аккредитованными Банком России рейтинговыми агентствами</w:t>
      </w:r>
      <w:r>
        <w:rPr>
          <w:rStyle w:val="1382"/>
          <w:bCs/>
        </w:rPr>
        <w:footnoteReference w:id="14"/>
      </w:r>
      <w:r>
        <w:rPr>
          <w:bCs/>
        </w:rPr>
        <w:t xml:space="preserve">. При наличии у банка нескольких рейтингов учитывается наилучший. Требования к уровню рейтинга, приемлемо</w:t>
      </w:r>
      <w:r>
        <w:rPr>
          <w:bCs/>
        </w:rPr>
        <w:t xml:space="preserve">го для принятия независимой гарантии, приведены ниже в таблице</w:t>
      </w:r>
      <w:r>
        <w:rPr>
          <w:rStyle w:val="1382"/>
          <w:bCs/>
        </w:rPr>
        <w:footnoteReference w:id="15"/>
      </w:r>
      <w:r>
        <w:rPr>
          <w:bCs/>
        </w:rPr>
        <w:t xml:space="preserve">.</w:t>
      </w:r>
      <w:r>
        <w:rPr>
          <w:bCs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85"/>
        <w:gridCol w:w="2385"/>
        <w:gridCol w:w="2192"/>
        <w:gridCol w:w="2386"/>
      </w:tblGrid>
      <w:tr>
        <w:tblPrEx/>
        <w:trPr>
          <w:cantSplit/>
          <w:jc w:val="center"/>
          <w:tblHeader/>
        </w:trPr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840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АКРА (АО)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840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АО «Эксперт РА»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150" w:type="pct"/>
            <w:vAlign w:val="center"/>
            <w:textDirection w:val="lrTb"/>
            <w:noWrap w:val="false"/>
          </w:tcPr>
          <w:p>
            <w:pPr>
              <w:ind w:left="534" w:hanging="105"/>
              <w:jc w:val="center"/>
              <w:widowControl w:val="off"/>
              <w:tabs>
                <w:tab w:val="left" w:pos="840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ООО «НКР»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250" w:type="pct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840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ООО «НРА»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/>
        <w:trPr>
          <w:cantSplit/>
          <w:jc w:val="center"/>
          <w:trHeight w:val="58"/>
        </w:trPr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840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 ниже </w:t>
            </w:r>
            <w:r>
              <w:rPr>
                <w:sz w:val="20"/>
                <w:szCs w:val="20"/>
              </w:rPr>
              <w:t xml:space="preserve">BBB-(RU)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840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 ниже </w:t>
            </w:r>
            <w:r>
              <w:rPr>
                <w:sz w:val="20"/>
                <w:szCs w:val="20"/>
              </w:rPr>
              <w:t xml:space="preserve">ruBBB-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W w:w="1150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840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 ниже </w:t>
            </w:r>
            <w:r>
              <w:rPr>
                <w:sz w:val="20"/>
                <w:szCs w:val="20"/>
              </w:rPr>
              <w:t xml:space="preserve">BBB-.ru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W w:w="1250" w:type="pct"/>
            <w:vAlign w:val="center"/>
            <w:textDirection w:val="lrTb"/>
            <w:noWrap w:val="false"/>
          </w:tcPr>
          <w:p>
            <w:pPr>
              <w:ind w:left="-100"/>
              <w:jc w:val="center"/>
              <w:widowControl w:val="off"/>
              <w:tabs>
                <w:tab w:val="left" w:pos="840" w:leader="none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Не ниже </w:t>
            </w:r>
            <w:r>
              <w:rPr>
                <w:sz w:val="20"/>
                <w:szCs w:val="20"/>
              </w:rPr>
              <w:t xml:space="preserve">BBB-|ru|</w:t>
            </w:r>
            <w:r>
              <w:rPr>
                <w:bCs/>
                <w:sz w:val="20"/>
                <w:szCs w:val="20"/>
              </w:rPr>
            </w:r>
          </w:p>
        </w:tc>
      </w:tr>
    </w:tbl>
    <w:p>
      <w:pPr>
        <w:ind w:firstLine="567"/>
        <w:spacing w:after="120"/>
        <w:tabs>
          <w:tab w:val="left" w:pos="1560" w:leader="none"/>
          <w:tab w:val="left" w:pos="1701" w:leader="none"/>
          <w:tab w:val="num" w:pos="2422" w:leader="none"/>
        </w:tabs>
        <w:rPr>
          <w:i/>
          <w:sz w:val="22"/>
        </w:rPr>
      </w:pPr>
      <w:r>
        <w:rPr>
          <w:i/>
          <w:sz w:val="22"/>
        </w:rPr>
      </w:r>
      <w:r>
        <w:rPr>
          <w:i/>
          <w:sz w:val="22"/>
        </w:rPr>
      </w:r>
    </w:p>
    <w:p>
      <w:pPr>
        <w:ind w:firstLine="567"/>
        <w:spacing w:after="0"/>
        <w:tabs>
          <w:tab w:val="left" w:pos="1560" w:leader="none"/>
          <w:tab w:val="left" w:pos="1701" w:leader="none"/>
          <w:tab w:val="num" w:pos="2422" w:leader="none"/>
        </w:tabs>
      </w:pPr>
      <w:r>
        <w:t xml:space="preserve">6.3.3. Для принятия независимой гарантии Заказчиком победителю закупки (единственному участнику, с которым принято решение заключить договор) необходимо представить Заказчику документы в отношении гаранта в соответствии с условиями, установленными в проект</w:t>
      </w:r>
      <w:r>
        <w:t xml:space="preserve">е договора, являющегося неотъемлемой частью закупочной документации. </w:t>
      </w:r>
      <w:r/>
    </w:p>
    <w:p>
      <w:pPr>
        <w:ind w:firstLine="567"/>
        <w:spacing w:after="0"/>
        <w:tabs>
          <w:tab w:val="left" w:pos="1560" w:leader="none"/>
          <w:tab w:val="left" w:pos="1701" w:leader="none"/>
          <w:tab w:val="num" w:pos="2422" w:leader="none"/>
        </w:tabs>
      </w:pPr>
      <w:r>
        <w:rPr>
          <w:bCs/>
        </w:rPr>
        <w:t xml:space="preserve">6.3.4. Заказчик вправе направить запрос о подтверждении Гарантом факта выдачи независимой гарантии</w:t>
      </w:r>
      <w:bookmarkStart w:id="220" w:name="_Toc126935855"/>
      <w:r/>
      <w:bookmarkStart w:id="221" w:name="_Toc132974770"/>
      <w:r>
        <w:t xml:space="preserve">.</w:t>
      </w:r>
      <w:r/>
    </w:p>
    <w:p>
      <w:pPr>
        <w:ind w:firstLine="567"/>
        <w:spacing w:after="120"/>
        <w:tabs>
          <w:tab w:val="left" w:pos="1560" w:leader="none"/>
          <w:tab w:val="left" w:pos="1701" w:leader="none"/>
          <w:tab w:val="num" w:pos="2422" w:leader="none"/>
        </w:tabs>
      </w:pPr>
      <w:r/>
      <w:r/>
    </w:p>
    <w:p>
      <w:pPr>
        <w:pStyle w:val="1495"/>
        <w:numPr>
          <w:ilvl w:val="0"/>
          <w:numId w:val="56"/>
        </w:numPr>
        <w:jc w:val="both"/>
        <w:keepNext/>
        <w:spacing w:after="60"/>
        <w:rPr>
          <w:b/>
          <w:bCs/>
          <w:vanish/>
        </w:rPr>
        <w:outlineLvl w:val="1"/>
      </w:pPr>
      <w:r/>
      <w:bookmarkStart w:id="222" w:name="_Toc235016230"/>
      <w:r/>
      <w:bookmarkStart w:id="223" w:name="_Toc235528747"/>
      <w:r/>
      <w:bookmarkStart w:id="224" w:name="_Toc237269502"/>
      <w:r/>
      <w:bookmarkStart w:id="225" w:name="_Toc241139381"/>
      <w:r/>
      <w:bookmarkStart w:id="226" w:name="_Toc241139447"/>
      <w:r/>
      <w:bookmarkStart w:id="227" w:name="_Toc241145376"/>
      <w:r/>
      <w:bookmarkStart w:id="228" w:name="_Toc242108217"/>
      <w:r/>
      <w:bookmarkStart w:id="229" w:name="_Toc242181467"/>
      <w:r/>
      <w:bookmarkStart w:id="230" w:name="_Toc39"/>
      <w:r/>
      <w:bookmarkStart w:id="231" w:name="_Toc243045070"/>
      <w:r/>
      <w:bookmarkEnd w:id="222"/>
      <w:r/>
      <w:bookmarkEnd w:id="223"/>
      <w:r/>
      <w:bookmarkEnd w:id="224"/>
      <w:r/>
      <w:bookmarkEnd w:id="225"/>
      <w:r/>
      <w:bookmarkEnd w:id="226"/>
      <w:r/>
      <w:bookmarkEnd w:id="227"/>
      <w:r/>
      <w:bookmarkEnd w:id="228"/>
      <w:r/>
      <w:bookmarkEnd w:id="229"/>
      <w:r/>
      <w:bookmarkEnd w:id="231"/>
      <w:r/>
      <w:r>
        <w:rPr>
          <w:b/>
          <w:bCs/>
          <w:vanish/>
        </w:rPr>
      </w:r>
    </w:p>
    <w:p>
      <w:pPr>
        <w:pStyle w:val="1495"/>
        <w:numPr>
          <w:ilvl w:val="1"/>
          <w:numId w:val="56"/>
        </w:numPr>
        <w:jc w:val="both"/>
        <w:keepNext/>
        <w:spacing w:after="60"/>
        <w:rPr>
          <w:b/>
          <w:bCs/>
          <w:vanish/>
        </w:rPr>
        <w:outlineLvl w:val="1"/>
      </w:pPr>
      <w:r/>
      <w:bookmarkStart w:id="232" w:name="_Toc235016231"/>
      <w:r/>
      <w:bookmarkStart w:id="233" w:name="_Toc235528748"/>
      <w:r/>
      <w:bookmarkStart w:id="234" w:name="_Toc237269503"/>
      <w:r/>
      <w:bookmarkStart w:id="235" w:name="_Toc241139382"/>
      <w:r/>
      <w:bookmarkStart w:id="236" w:name="_Toc241139448"/>
      <w:r/>
      <w:bookmarkStart w:id="237" w:name="_Toc241145377"/>
      <w:r/>
      <w:bookmarkStart w:id="238" w:name="_Toc242108218"/>
      <w:r/>
      <w:bookmarkStart w:id="239" w:name="_Toc242181468"/>
      <w:r/>
      <w:bookmarkStart w:id="240" w:name="_Toc243045071"/>
      <w:r/>
      <w:bookmarkEnd w:id="232"/>
      <w:r/>
      <w:bookmarkEnd w:id="233"/>
      <w:r/>
      <w:bookmarkEnd w:id="234"/>
      <w:r/>
      <w:bookmarkEnd w:id="235"/>
      <w:r/>
      <w:bookmarkEnd w:id="236"/>
      <w:r/>
      <w:bookmarkEnd w:id="237"/>
      <w:r/>
      <w:bookmarkEnd w:id="238"/>
      <w:r/>
      <w:bookmarkEnd w:id="239"/>
      <w:r/>
      <w:bookmarkEnd w:id="240"/>
      <w:r/>
      <w:r>
        <w:rPr>
          <w:b/>
          <w:bCs/>
          <w:vanish/>
        </w:rPr>
      </w:r>
    </w:p>
    <w:p>
      <w:pPr>
        <w:pStyle w:val="1115"/>
        <w:numPr>
          <w:ilvl w:val="1"/>
          <w:numId w:val="56"/>
        </w:numPr>
        <w:ind w:left="0" w:firstLine="567"/>
        <w:jc w:val="both"/>
        <w:rPr>
          <w:sz w:val="24"/>
          <w:szCs w:val="24"/>
        </w:rPr>
      </w:pPr>
      <w:r/>
      <w:bookmarkStart w:id="241" w:name="_Toc243045072"/>
      <w:r>
        <w:rPr>
          <w:sz w:val="24"/>
          <w:szCs w:val="24"/>
        </w:rPr>
        <w:t xml:space="preserve">По</w:t>
      </w:r>
      <w:r>
        <w:rPr>
          <w:color w:val="000000" w:themeColor="text1"/>
          <w:sz w:val="24"/>
          <w:szCs w:val="24"/>
        </w:rPr>
        <w:t xml:space="preserve">рядок предоставления обеспечения исполнения обязательств по договору в случае заключения договора с аномал</w:t>
      </w:r>
      <w:r>
        <w:rPr>
          <w:sz w:val="24"/>
          <w:szCs w:val="24"/>
        </w:rPr>
        <w:t xml:space="preserve">ьно низкой ценой.</w:t>
      </w:r>
      <w:bookmarkEnd w:id="241"/>
      <w:r>
        <w:rPr>
          <w:sz w:val="24"/>
          <w:szCs w:val="24"/>
        </w:rPr>
        <w:t xml:space="preserve"> </w:t>
      </w:r>
      <w:bookmarkEnd w:id="230"/>
      <w:r/>
      <w:r>
        <w:rPr>
          <w:sz w:val="24"/>
          <w:szCs w:val="24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widowControl w:val="off"/>
      </w:pPr>
      <w:r>
        <w:rPr>
          <w:rFonts w:ascii="Times New Roman" w:hAnsi="Times New Roman" w:cs="Times New Roman"/>
          <w:b w:val="0"/>
        </w:rPr>
        <w:t xml:space="preserve">Под аномально низким ценовым предложением понимается снижение цены участником закупки относительно начальной (максимальной) цены до</w:t>
      </w:r>
      <w:r>
        <w:rPr>
          <w:rFonts w:ascii="Times New Roman" w:hAnsi="Times New Roman" w:cs="Times New Roman"/>
          <w:b w:val="0"/>
        </w:rPr>
        <w:t xml:space="preserve">говора, указанной в извещении и/или документации о закупке на 25 (двадцать пять) и более процентов. При расчете размера процента снижения для определения аномально низкой цены предложения применяется значение цены Победителя/Участника, в отношении которого</w:t>
      </w:r>
      <w:r>
        <w:rPr>
          <w:rFonts w:ascii="Times New Roman" w:hAnsi="Times New Roman" w:cs="Times New Roman"/>
          <w:b w:val="0"/>
        </w:rPr>
        <w:t xml:space="preserve"> принято решение о заключение договора, с учетом всех налогов и сборов, независимо от применяемой им системы налогообложения.</w:t>
      </w:r>
      <w:r/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widowControl w:val="off"/>
        <w:rPr>
          <w:rFonts w:ascii="Times New Roman" w:hAnsi="Times New Roman"/>
          <w:b w:val="0"/>
        </w:rPr>
      </w:pPr>
      <w:r/>
      <w:bookmarkStart w:id="242" w:name="_Ref4407664"/>
      <w:r>
        <w:rPr>
          <w:rFonts w:ascii="Times New Roman" w:hAnsi="Times New Roman" w:cs="Times New Roman"/>
          <w:b w:val="0"/>
        </w:rPr>
        <w:t xml:space="preserve">В случае, если при проведении закупки победителем (либо единственным участником, признанным соответствующим требованиям извещения </w:t>
      </w:r>
      <w:r>
        <w:rPr>
          <w:rFonts w:ascii="Times New Roman" w:hAnsi="Times New Roman" w:cs="Times New Roman"/>
          <w:b w:val="0"/>
        </w:rPr>
        <w:t xml:space="preserve">и/или документации о закупке) признается участник, предложивший аномально низкое ценовое предложение, таким участником до</w:t>
      </w:r>
      <w:r>
        <w:rPr>
          <w:rFonts w:ascii="Times New Roman" w:hAnsi="Times New Roman"/>
          <w:b w:val="0"/>
        </w:rPr>
        <w:t xml:space="preserve"> заключения договора должно быть предоставлено обеспечение исполнения обязательств по договору в порядке и сроки, установленные в насто</w:t>
      </w:r>
      <w:r>
        <w:rPr>
          <w:rFonts w:ascii="Times New Roman" w:hAnsi="Times New Roman"/>
          <w:b w:val="0"/>
        </w:rPr>
        <w:t xml:space="preserve">ящей документации о закупке, в следующем размере:</w:t>
      </w:r>
      <w:bookmarkEnd w:id="242"/>
      <w:r/>
      <w:r>
        <w:rPr>
          <w:rFonts w:ascii="Times New Roman" w:hAnsi="Times New Roman"/>
          <w:b w:val="0"/>
        </w:rPr>
      </w:r>
    </w:p>
    <w:p>
      <w:r/>
      <w:r/>
    </w:p>
    <w:tbl>
      <w:tblPr>
        <w:tblStyle w:val="1501"/>
        <w:tblW w:w="5000" w:type="pct"/>
        <w:tblLook w:val="04A0" w:firstRow="1" w:lastRow="0" w:firstColumn="1" w:lastColumn="0" w:noHBand="0" w:noVBand="1"/>
      </w:tblPr>
      <w:tblGrid>
        <w:gridCol w:w="418"/>
        <w:gridCol w:w="1632"/>
        <w:gridCol w:w="1660"/>
        <w:gridCol w:w="1658"/>
        <w:gridCol w:w="3980"/>
      </w:tblGrid>
      <w:tr>
        <w:tblPrEx/>
        <w:trPr>
          <w:trHeight w:val="274"/>
        </w:trPr>
        <w:tc>
          <w:tcPr>
            <w:tcW w:w="223" w:type="pct"/>
            <w:vMerge w:val="restart"/>
            <w:textDirection w:val="lrTb"/>
            <w:noWrap w:val="false"/>
          </w:tcPr>
          <w:p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</w:p>
          <w:p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gridSpan w:val="3"/>
            <w:tcW w:w="2648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Матрица договорных условий </w:t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129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Требуемый размер обеспечения (в виде независимой гарантии* либо обеспечительного платежа на исполнение обязательств по договору)</w:t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1208"/>
        </w:trPr>
        <w:tc>
          <w:tcPr>
            <w:tcW w:w="223" w:type="pct"/>
            <w:vMerge w:val="continue"/>
            <w:textDirection w:val="lrTb"/>
            <w:noWrap w:val="false"/>
          </w:tcPr>
          <w:p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873" w:type="pct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Предоставление обеспечения исполнения обяз</w:t>
            </w:r>
            <w:r>
              <w:rPr>
                <w:b/>
                <w:sz w:val="18"/>
                <w:szCs w:val="18"/>
              </w:rPr>
              <w:t xml:space="preserve">ательств по договору </w:t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888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Авансирование </w:t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887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Предоставление обеспечения возврата авансового платежа</w:t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tcW w:w="2129" w:type="pct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22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87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888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887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129" w:type="pct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исполнения обязательств по договору в размере 5% (пять процентов) от начальной (максимальной) цены договора, (</w:t>
            </w:r>
            <w:r>
              <w:rPr>
                <w:i/>
                <w:sz w:val="20"/>
                <w:szCs w:val="20"/>
              </w:rPr>
              <w:t xml:space="preserve">по решению закупочной комиссии при формировании извещения о закупке и/или документации о закупки размер обеспечения может быть увеличе</w:t>
            </w:r>
            <w:r>
              <w:rPr>
                <w:i/>
                <w:sz w:val="20"/>
                <w:szCs w:val="20"/>
              </w:rPr>
              <w:t xml:space="preserve">н до 30% (тридцати) от начальной (максимальной) цены договора)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22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7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88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887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129" w:type="pct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увеличенное от первоначально установленного обеспечения исполнения обязательств по договору в 1,5 (полтора) раза, но не менее 5% (пяти процентов) от начальной (максимальной) цены договора 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22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7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88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</w:t>
            </w:r>
            <w:r>
              <w:rPr>
                <w:sz w:val="20"/>
                <w:szCs w:val="20"/>
              </w:rPr>
            </w:r>
          </w:p>
        </w:tc>
        <w:tc>
          <w:tcPr>
            <w:tcW w:w="887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129" w:type="pct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исполнения договора в размере аванса, но не менее 5% (пяти процентов) от начальной (максимальной) цены договора 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22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7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88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887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129" w:type="pct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исполнения договора в размере аванса, но не менее 5% (пяти процентов</w:t>
            </w:r>
            <w:r>
              <w:rPr>
                <w:sz w:val="20"/>
                <w:szCs w:val="20"/>
              </w:rPr>
              <w:t xml:space="preserve">) от начальной (максимальной) цены договора 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shd w:val="clear" w:color="auto" w:fill="auto"/>
            <w:tcW w:w="22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7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888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887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W w:w="2129" w:type="pct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увеличенное от первоначально установленного обеспечения исполнения договора в 1,5 (полтора) раза, но не менее размера аванса</w:t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W w:w="22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tcW w:w="873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</w:t>
            </w:r>
            <w:r>
              <w:rPr>
                <w:sz w:val="20"/>
                <w:szCs w:val="20"/>
              </w:rPr>
            </w:r>
          </w:p>
        </w:tc>
        <w:tc>
          <w:tcPr>
            <w:tcW w:w="888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887" w:type="pct"/>
            <w:textDirection w:val="lrTb"/>
            <w:noWrap w:val="false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</w:tc>
        <w:tc>
          <w:tcPr>
            <w:tcW w:w="2129" w:type="pct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увеличенное от первоначально установленного обеспечения исполнения договора в 1,5 (по</w:t>
            </w:r>
            <w:r>
              <w:rPr>
                <w:sz w:val="20"/>
                <w:szCs w:val="20"/>
              </w:rPr>
              <w:t xml:space="preserve">лтора) раза, но не менее 5% (пяти процентов) от начальной (максимальной) цены договора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  <w:t xml:space="preserve">*Форма независимой гарантии должна соответствовать требованиям организационно-распорядительных документов Заказчика, действующим на дату предоставления гарантии.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495"/>
        <w:numPr>
          <w:ilvl w:val="2"/>
          <w:numId w:val="56"/>
        </w:numPr>
        <w:ind w:left="0" w:firstLine="567"/>
        <w:jc w:val="both"/>
      </w:pPr>
      <w:r>
        <w:t xml:space="preserve">Обеспечение исполнения обязательств по договору может быть представлено в форме внесения дене</w:t>
      </w:r>
      <w:r>
        <w:t xml:space="preserve">жных средств на счет Заказчика (обеспечительного платежа) или в форме независимой гарантии. Выбор способа обеспечения исполнения обязательств по договору осуществляется участником закупки самостоятельно. Предоставление обеспечения иным, не указанным в изве</w:t>
      </w:r>
      <w:r>
        <w:t xml:space="preserve">щении и/или документации о закупке способом не допускается.</w:t>
      </w:r>
      <w:r/>
    </w:p>
    <w:p>
      <w:pPr>
        <w:pStyle w:val="1495"/>
        <w:numPr>
          <w:ilvl w:val="2"/>
          <w:numId w:val="56"/>
        </w:numPr>
        <w:ind w:left="0" w:firstLine="567"/>
        <w:jc w:val="both"/>
      </w:pPr>
      <w:r>
        <w:t xml:space="preserve">Обеспечение исполнения договора, предусмотренное в пункте 6.4.2, предоставляется на период исполнения обязательств по договору до момента подписания сторонами итоговых документов, подтверждающих и</w:t>
      </w:r>
      <w:r>
        <w:t xml:space="preserve">сполнение участником закупки обязательств по выполнению работ/ оказанию услуг/поставке товаров в соответствии с условиями договора в полном объеме. </w:t>
      </w:r>
      <w:r/>
    </w:p>
    <w:p>
      <w:pPr>
        <w:pStyle w:val="1495"/>
        <w:numPr>
          <w:ilvl w:val="2"/>
          <w:numId w:val="56"/>
        </w:numPr>
        <w:ind w:left="0" w:firstLine="567"/>
        <w:jc w:val="both"/>
      </w:pPr>
      <w:r>
        <w:t xml:space="preserve">Срок действия независимой гарантии должен начинаться не позднее даты заключения договора и заканчиваться не</w:t>
      </w:r>
      <w:r>
        <w:t xml:space="preserve"> ранее, чем через 60 дней после установленного договором срока исполнения обязательств по договору. </w:t>
      </w:r>
      <w:r/>
    </w:p>
    <w:p>
      <w:pPr>
        <w:pStyle w:val="1495"/>
        <w:numPr>
          <w:ilvl w:val="2"/>
          <w:numId w:val="56"/>
        </w:numPr>
        <w:ind w:left="0" w:firstLine="567"/>
        <w:jc w:val="both"/>
      </w:pPr>
      <w:r>
        <w:t xml:space="preserve">В случае принятия участником закупки решения о предоставлении обеспечение исполнения обязательств по договору, предусмотренного в пункте 6.4.2, в форме денежных средств (обеспечительного платежа), такие средства перечисляются на расчетный счет Заказчика, у</w:t>
      </w:r>
      <w:r>
        <w:t xml:space="preserve">казанный в извещении/или документации о закупке. В платежном поручении в графе «наименование платежа» необходимо указать «Обеспечение исполнения обязательств по договору (наименование), а также «НДС не облагается».</w:t>
      </w:r>
      <w:r/>
    </w:p>
    <w:p>
      <w:pPr>
        <w:pStyle w:val="1495"/>
        <w:numPr>
          <w:ilvl w:val="2"/>
          <w:numId w:val="56"/>
        </w:numPr>
        <w:ind w:left="0" w:firstLine="567"/>
        <w:jc w:val="both"/>
      </w:pPr>
      <w:r>
        <w:t xml:space="preserve">В случае принятия решения о предоставлени</w:t>
      </w:r>
      <w:r>
        <w:t xml:space="preserve">и обеспечения исполнения обязательств по договору, предусмотренного в пункте 6.4.2, в форме независимой гарантии, такая гарантия, а также гарант должны соответствовать требованиям, установленным в извещении и/или документации о закупке к форме независимой </w:t>
      </w:r>
      <w:r>
        <w:t xml:space="preserve">гарантии, а также к гарантам.</w:t>
      </w:r>
      <w:r/>
    </w:p>
    <w:p>
      <w:pPr>
        <w:pStyle w:val="1495"/>
        <w:numPr>
          <w:ilvl w:val="2"/>
          <w:numId w:val="56"/>
        </w:numPr>
        <w:ind w:left="0" w:firstLine="567"/>
        <w:jc w:val="both"/>
      </w:pPr>
      <w:r>
        <w:t xml:space="preserve">В случае продления срока выполнения обязательств по договору, обеспечение, предоставленное контрагентом, должно соответствовать установленным в договоре требованиям, регламентирующим порядок работы с обеспечением.</w:t>
      </w:r>
      <w:r/>
    </w:p>
    <w:p>
      <w:pPr>
        <w:pStyle w:val="1495"/>
        <w:ind w:left="567"/>
        <w:jc w:val="both"/>
      </w:pPr>
      <w:r/>
      <w:r/>
    </w:p>
    <w:p>
      <w:pPr>
        <w:pStyle w:val="1495"/>
        <w:numPr>
          <w:ilvl w:val="1"/>
          <w:numId w:val="41"/>
        </w:numPr>
        <w:jc w:val="both"/>
        <w:keepNext/>
        <w:spacing w:after="60"/>
        <w:rPr>
          <w:b/>
          <w:bCs/>
          <w:vanish/>
        </w:rPr>
        <w:outlineLvl w:val="1"/>
      </w:pPr>
      <w:r/>
      <w:bookmarkStart w:id="243" w:name="_Toc235016233"/>
      <w:r/>
      <w:bookmarkStart w:id="244" w:name="_Toc235528750"/>
      <w:r/>
      <w:bookmarkStart w:id="245" w:name="_Toc237269505"/>
      <w:r/>
      <w:bookmarkStart w:id="246" w:name="_Toc241139384"/>
      <w:r/>
      <w:bookmarkStart w:id="247" w:name="_Toc241139450"/>
      <w:r/>
      <w:bookmarkStart w:id="248" w:name="_Toc241145379"/>
      <w:r/>
      <w:bookmarkStart w:id="249" w:name="_Toc242108220"/>
      <w:r/>
      <w:bookmarkStart w:id="250" w:name="_Toc242181470"/>
      <w:r/>
      <w:bookmarkStart w:id="251" w:name="_Toc243045073"/>
      <w:r/>
      <w:bookmarkEnd w:id="243"/>
      <w:r/>
      <w:bookmarkEnd w:id="244"/>
      <w:r/>
      <w:bookmarkEnd w:id="245"/>
      <w:r/>
      <w:bookmarkEnd w:id="246"/>
      <w:r/>
      <w:bookmarkEnd w:id="247"/>
      <w:r/>
      <w:bookmarkEnd w:id="248"/>
      <w:r/>
      <w:bookmarkEnd w:id="249"/>
      <w:r/>
      <w:bookmarkEnd w:id="250"/>
      <w:r/>
      <w:bookmarkEnd w:id="251"/>
      <w:r/>
      <w:r>
        <w:rPr>
          <w:b/>
          <w:bCs/>
          <w:vanish/>
        </w:rPr>
      </w:r>
    </w:p>
    <w:p>
      <w:pPr>
        <w:pStyle w:val="1115"/>
        <w:numPr>
          <w:ilvl w:val="1"/>
          <w:numId w:val="56"/>
        </w:numPr>
        <w:ind w:left="0" w:firstLine="567"/>
        <w:jc w:val="both"/>
        <w:rPr>
          <w:sz w:val="24"/>
          <w:szCs w:val="24"/>
        </w:rPr>
      </w:pPr>
      <w:r/>
      <w:bookmarkStart w:id="252" w:name="_Toc243045074"/>
      <w:r>
        <w:rPr>
          <w:sz w:val="24"/>
          <w:szCs w:val="24"/>
        </w:rPr>
        <w:t xml:space="preserve">Отказ от з</w:t>
      </w:r>
      <w:r>
        <w:rPr>
          <w:sz w:val="24"/>
          <w:szCs w:val="24"/>
        </w:rPr>
        <w:t xml:space="preserve">аключения договора</w:t>
      </w:r>
      <w:bookmarkEnd w:id="220"/>
      <w:r/>
      <w:bookmarkEnd w:id="221"/>
      <w:r/>
      <w:bookmarkEnd w:id="252"/>
      <w:r/>
      <w:r>
        <w:rPr>
          <w:sz w:val="24"/>
          <w:szCs w:val="24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Заказчик отказывается от заключения договора с победителем (единственным участником закупки, с которым планируется заключить договора) в любой момент до заключения договора, если Заказчик или Закупочная комиссия обнаружит, что участник з</w:t>
      </w:r>
      <w:r>
        <w:rPr>
          <w:rFonts w:ascii="Times New Roman" w:hAnsi="Times New Roman" w:cs="Times New Roman"/>
          <w:b w:val="0"/>
          <w:bCs w:val="0"/>
        </w:rPr>
        <w:t xml:space="preserve">акупки не соответствует требованиям, установленным в документации о закупке, или предоставил недостоверную информацию (сведения) в отношении своего соответствия указанным требованиям.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53" w:name="_Ref302129490"/>
      <w:r>
        <w:rPr>
          <w:rFonts w:ascii="Times New Roman" w:hAnsi="Times New Roman" w:cs="Times New Roman"/>
          <w:b w:val="0"/>
          <w:bCs w:val="0"/>
        </w:rPr>
        <w:t xml:space="preserve">Участник закупки, признанный победителем (участник закупки, с которым пр</w:t>
      </w:r>
      <w:r>
        <w:rPr>
          <w:rFonts w:ascii="Times New Roman" w:hAnsi="Times New Roman" w:cs="Times New Roman"/>
          <w:b w:val="0"/>
          <w:bCs w:val="0"/>
        </w:rPr>
        <w:t xml:space="preserve">инято решение заключить договор), утрачивает статус победителя, и его действия (бездействия) означают отказ от заключения договора в следующих случаях:</w:t>
      </w:r>
      <w:bookmarkEnd w:id="253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520"/>
        <w:numPr>
          <w:ilvl w:val="0"/>
          <w:numId w:val="14"/>
        </w:numPr>
        <w:ind w:left="0" w:firstLine="567"/>
        <w:widowControl w:val="off"/>
        <w:tabs>
          <w:tab w:val="left" w:pos="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уклонения или отказа участника закупки (участника закупки, с которым принято решение заключить договор) </w:t>
      </w:r>
      <w:r>
        <w:rPr>
          <w:sz w:val="24"/>
          <w:szCs w:val="24"/>
        </w:rPr>
        <w:t xml:space="preserve">от заключения договора, в том числе путем предложения Заказчику внести изменения в условия договора, либо непредоставления </w:t>
      </w:r>
      <w:r>
        <w:rPr>
          <w:sz w:val="24"/>
          <w:szCs w:val="24"/>
        </w:rPr>
        <w:t xml:space="preserve">сведений, указанных в пункте 6.1.4, 6.1.5 части I Документации о закупке;</w:t>
      </w:r>
      <w:r>
        <w:rPr>
          <w:sz w:val="24"/>
          <w:szCs w:val="24"/>
        </w:rPr>
      </w:r>
    </w:p>
    <w:p>
      <w:pPr>
        <w:pStyle w:val="1511"/>
        <w:numPr>
          <w:ilvl w:val="0"/>
          <w:numId w:val="14"/>
        </w:numPr>
        <w:ind w:left="0" w:firstLine="567"/>
        <w:jc w:val="both"/>
        <w:tabs>
          <w:tab w:val="left" w:pos="1418" w:leader="none"/>
        </w:tabs>
        <w:rPr>
          <w:smallCaps/>
          <w:color w:val="auto"/>
        </w:rPr>
      </w:pPr>
      <w:r>
        <w:t xml:space="preserve">непредоставления или предоставления с нарушением условий, у</w:t>
      </w:r>
      <w:r>
        <w:t xml:space="preserve">становленных настоящей документацией о закупке, до заключения договора Заказчику обеспечения исполнения договора (в случае, если в извещении о закупке, документации о закупке установлены требования обеспечения исполнения договора и срок его предоставления </w:t>
      </w:r>
      <w:r>
        <w:t xml:space="preserve">до заключения договора).</w:t>
      </w:r>
      <w:bookmarkEnd w:id="201"/>
      <w:r/>
      <w:r>
        <w:rPr>
          <w:smallCaps/>
          <w:color w:val="auto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В случае, если участник закупки, обязанный заключить договор, не предоставил Заказчику в срок, установленный в извещении о закупке и (или) документации о закупке, подписанный им договор, либо отказался от заключения договора, либо </w:t>
      </w:r>
      <w:r>
        <w:rPr>
          <w:rFonts w:ascii="Times New Roman" w:hAnsi="Times New Roman" w:cs="Times New Roman"/>
          <w:b w:val="0"/>
          <w:bCs w:val="0"/>
        </w:rPr>
        <w:t xml:space="preserve">не предоставил обеспечение исполнения обязательств по договору (в случае необходимости его предоставления до заключения договора), либо предъявил встречные требования по условиям договора, противоречащие ранее установленным в документации о закупке, Заказч</w:t>
      </w:r>
      <w:r>
        <w:rPr>
          <w:rFonts w:ascii="Times New Roman" w:hAnsi="Times New Roman" w:cs="Times New Roman"/>
          <w:b w:val="0"/>
          <w:bCs w:val="0"/>
        </w:rPr>
        <w:t xml:space="preserve">ик признает его утратившим статус победителя и вправе заключить договор с участником закупки, заявке на участие в закупке которого присвоен следующий порядковый номер и который предложил такие же, как и победитель закупки, условия исполнения договора или п</w:t>
      </w:r>
      <w:r>
        <w:rPr>
          <w:rFonts w:ascii="Times New Roman" w:hAnsi="Times New Roman" w:cs="Times New Roman"/>
          <w:b w:val="0"/>
          <w:bCs w:val="0"/>
        </w:rPr>
        <w:t xml:space="preserve">редложение которого содержит лучшие условия исполнения договора, следующие после условий, предложенных ранее выбранным победителем закупки. При этом срок для подписания договора будет аналогичен сроку, предусмотренному в пункте 6.1.3 части I «ОБЩИЕ УСЛОВИЯ</w:t>
      </w:r>
      <w:r>
        <w:rPr>
          <w:rFonts w:ascii="Times New Roman" w:hAnsi="Times New Roman" w:cs="Times New Roman"/>
          <w:b w:val="0"/>
          <w:bCs w:val="0"/>
        </w:rPr>
        <w:t xml:space="preserve"> ПРОВЕДЕНИЯ ЗАКУПКИ».</w:t>
      </w:r>
      <w:r>
        <w:rPr>
          <w:rFonts w:ascii="Times New Roman" w:hAnsi="Times New Roman" w:cs="Times New Roman"/>
          <w:b w:val="0"/>
          <w:bCs w:val="0"/>
        </w:rPr>
      </w:r>
    </w:p>
    <w:p>
      <w:pPr>
        <w:ind w:firstLine="567"/>
      </w:pPr>
      <w:r/>
      <w:r/>
    </w:p>
    <w:p>
      <w:pPr>
        <w:pStyle w:val="1115"/>
        <w:numPr>
          <w:ilvl w:val="1"/>
          <w:numId w:val="56"/>
        </w:numPr>
        <w:ind w:left="0" w:firstLine="567"/>
        <w:jc w:val="both"/>
        <w:rPr>
          <w:sz w:val="24"/>
          <w:szCs w:val="24"/>
        </w:rPr>
      </w:pPr>
      <w:r/>
      <w:bookmarkStart w:id="254" w:name="_Toc126935856"/>
      <w:r/>
      <w:bookmarkStart w:id="255" w:name="_Toc132974771"/>
      <w:r/>
      <w:bookmarkStart w:id="256" w:name="_Toc243045075"/>
      <w:r>
        <w:rPr>
          <w:sz w:val="24"/>
          <w:szCs w:val="24"/>
        </w:rPr>
        <w:t xml:space="preserve">Изменение и расторжение договора</w:t>
      </w:r>
      <w:bookmarkEnd w:id="254"/>
      <w:r/>
      <w:bookmarkEnd w:id="255"/>
      <w:r/>
      <w:bookmarkEnd w:id="256"/>
      <w:r/>
      <w:r>
        <w:rPr>
          <w:sz w:val="24"/>
          <w:szCs w:val="24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Договор исполняется в соотв</w:t>
      </w:r>
      <w:r>
        <w:rPr>
          <w:rFonts w:ascii="Times New Roman" w:hAnsi="Times New Roman" w:cs="Times New Roman"/>
          <w:b w:val="0"/>
          <w:bCs w:val="0"/>
        </w:rPr>
        <w:t xml:space="preserve">етствии с условиями, определяемыми законодательством Российской Федерации, и самим договором, включая внесенные в него изменения. Изменение условий договора возможно в порядке, предусмотренным действующим законодательством и Положением о закупке Заказчика.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/>
      <w:bookmarkStart w:id="257" w:name="_Ref119429963"/>
      <w:r>
        <w:rPr>
          <w:rFonts w:ascii="Times New Roman" w:hAnsi="Times New Roman" w:cs="Times New Roman"/>
          <w:b w:val="0"/>
          <w:bCs w:val="0"/>
        </w:rPr>
        <w:t xml:space="preserve">При исполнении договора не допускается перемена поставщика (исполнителя, подрядчика), за исключением случая, когда новый поставщик (исполнитель, подрядчик) является правопреемником поставщика (исполнителя, подрядчика) по такому договору вследствие реорган</w:t>
      </w:r>
      <w:r>
        <w:rPr>
          <w:rFonts w:ascii="Times New Roman" w:hAnsi="Times New Roman" w:cs="Times New Roman"/>
          <w:b w:val="0"/>
          <w:bCs w:val="0"/>
        </w:rPr>
        <w:t xml:space="preserve">изации юридического лица в форме преобразования, слияния или присоединения, либо случаев, когда действующим законодательством прямо установлено, что перемена поставщика (исполнителя, подрядчика) при исполнении договора не является основанием для расторжени</w:t>
      </w:r>
      <w:r>
        <w:rPr>
          <w:rFonts w:ascii="Times New Roman" w:hAnsi="Times New Roman" w:cs="Times New Roman"/>
          <w:b w:val="0"/>
          <w:bCs w:val="0"/>
        </w:rPr>
        <w:t xml:space="preserve">я договора.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исполнении договоров на поставку товаров (выполнение работ, оказание услуг) поставщик (исполнитель, подрядчик), при условии исполнения обязательств по договору вправе переуступить право требования (факторинг) в пользу иного лица (финансовог</w:t>
      </w:r>
      <w:r>
        <w:rPr>
          <w:rFonts w:ascii="Times New Roman" w:hAnsi="Times New Roman" w:cs="Times New Roman"/>
          <w:b w:val="0"/>
          <w:bCs w:val="0"/>
        </w:rPr>
        <w:t xml:space="preserve">о агента, фактора).</w:t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При исполнении договора, заключенного с участником закупки,  не допускается замена товара, в отношении которого установлены меры национального режима, на товар иностранного происхождения, за исключением случая, когда в результате такой </w:t>
      </w:r>
      <w:r>
        <w:rPr>
          <w:rFonts w:ascii="Times New Roman" w:hAnsi="Times New Roman" w:cs="Times New Roman"/>
          <w:b w:val="0"/>
          <w:bCs w:val="0"/>
        </w:rPr>
        <w:t xml:space="preserve">замены поставляются российские товары либо товары иностранного происхождения приравненные в соответствии с законодательством к российским, при этом качество, технические и функциональные характеристики (потребительские свойства) таких товаров не должны уст</w:t>
      </w:r>
      <w:r>
        <w:rPr>
          <w:rFonts w:ascii="Times New Roman" w:hAnsi="Times New Roman" w:cs="Times New Roman"/>
          <w:b w:val="0"/>
          <w:bCs w:val="0"/>
        </w:rPr>
        <w:t xml:space="preserve">упать качеству и соответствующим техническим и функциональным характеристикам товаров, указанным в договоре.</w:t>
      </w:r>
      <w:bookmarkEnd w:id="257"/>
      <w:r/>
      <w:r>
        <w:rPr>
          <w:rFonts w:ascii="Times New Roman" w:hAnsi="Times New Roman" w:cs="Times New Roman"/>
          <w:b w:val="0"/>
          <w:bCs w:val="0"/>
        </w:rPr>
      </w:r>
    </w:p>
    <w:p>
      <w:pPr>
        <w:pStyle w:val="1116"/>
        <w:numPr>
          <w:ilvl w:val="2"/>
          <w:numId w:val="56"/>
        </w:numPr>
        <w:ind w:left="0" w:firstLine="567"/>
        <w:keepNext w:val="0"/>
        <w:spacing w:before="0" w:after="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Расторжение договора, в том числе односторонний отказ от договора допускается по основаниям и в порядке, предусмотренном действующим законодательст</w:t>
      </w:r>
      <w:r>
        <w:rPr>
          <w:rFonts w:ascii="Times New Roman" w:hAnsi="Times New Roman" w:cs="Times New Roman"/>
          <w:b w:val="0"/>
          <w:bCs w:val="0"/>
        </w:rPr>
        <w:t xml:space="preserve">вом и договором.</w:t>
      </w:r>
      <w:r>
        <w:rPr>
          <w:rFonts w:ascii="Times New Roman" w:hAnsi="Times New Roman" w:cs="Times New Roman"/>
          <w:b w:val="0"/>
          <w:bCs w:val="0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pStyle w:val="1114"/>
        <w:numPr>
          <w:ilvl w:val="0"/>
          <w:numId w:val="6"/>
        </w:numPr>
        <w:ind w:left="0" w:firstLine="567"/>
        <w:spacing w:before="0" w:after="0"/>
        <w:rPr>
          <w:rStyle w:val="1477"/>
          <w:b/>
          <w:bCs/>
          <w:sz w:val="24"/>
          <w:szCs w:val="24"/>
        </w:rPr>
      </w:pPr>
      <w:r/>
      <w:bookmarkStart w:id="258" w:name="_РАЗДЕЛ_I_3_ИНФОРМАЦИОННАЯ_КАРТА_КОН"/>
      <w:r/>
      <w:bookmarkStart w:id="259" w:name="_Ref119427269"/>
      <w:r/>
      <w:bookmarkStart w:id="260" w:name="_Toc166101214"/>
      <w:r/>
      <w:bookmarkEnd w:id="258"/>
      <w:r>
        <w:rPr>
          <w:rStyle w:val="1477"/>
          <w:b/>
          <w:bCs/>
          <w:sz w:val="24"/>
          <w:szCs w:val="24"/>
        </w:rPr>
        <w:br w:type="page" w:clear="all"/>
      </w:r>
      <w:r>
        <w:rPr>
          <w:rStyle w:val="1477"/>
          <w:b/>
          <w:bCs/>
          <w:sz w:val="24"/>
          <w:szCs w:val="24"/>
        </w:rPr>
      </w:r>
    </w:p>
    <w:p>
      <w:pPr>
        <w:pStyle w:val="1114"/>
        <w:numPr>
          <w:ilvl w:val="0"/>
          <w:numId w:val="6"/>
        </w:numPr>
        <w:ind w:left="0" w:firstLine="567"/>
        <w:spacing w:before="0" w:after="0"/>
        <w:rPr>
          <w:rStyle w:val="1477"/>
          <w:b/>
          <w:bCs/>
          <w:sz w:val="24"/>
          <w:szCs w:val="24"/>
        </w:rPr>
        <w:sectPr>
          <w:footnotePr/>
          <w:endnotePr/>
          <w:type w:val="continuous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b/>
          <w:bCs/>
          <w:sz w:val="24"/>
          <w:szCs w:val="24"/>
        </w:rPr>
      </w:r>
      <w:r>
        <w:rPr>
          <w:rStyle w:val="1477"/>
          <w:b/>
          <w:bCs/>
          <w:sz w:val="24"/>
          <w:szCs w:val="24"/>
        </w:rPr>
      </w:r>
    </w:p>
    <w:p>
      <w:pPr>
        <w:pStyle w:val="1114"/>
        <w:ind w:left="720" w:firstLine="0"/>
        <w:spacing w:before="0" w:after="0"/>
        <w:tabs>
          <w:tab w:val="clear" w:pos="432" w:leader="none"/>
        </w:tabs>
        <w:rPr>
          <w:rStyle w:val="1477"/>
          <w:b/>
          <w:bCs/>
          <w:sz w:val="24"/>
          <w:szCs w:val="24"/>
        </w:rPr>
      </w:pPr>
      <w:r/>
      <w:bookmarkStart w:id="261" w:name="_Toc64630213"/>
      <w:r/>
      <w:bookmarkStart w:id="262" w:name="_Toc243045076"/>
      <w:r>
        <w:rPr>
          <w:rStyle w:val="1477"/>
          <w:b/>
          <w:bCs/>
          <w:sz w:val="24"/>
          <w:szCs w:val="24"/>
          <w:lang w:val="en-US"/>
        </w:rPr>
        <w:t xml:space="preserve">II</w:t>
      </w:r>
      <w:r>
        <w:rPr>
          <w:rStyle w:val="1477"/>
          <w:b/>
          <w:bCs/>
          <w:sz w:val="24"/>
          <w:szCs w:val="24"/>
        </w:rPr>
        <w:t xml:space="preserve">.ИНФОРМАЦИОННАЯ КАРТА </w:t>
      </w:r>
      <w:bookmarkEnd w:id="259"/>
      <w:r/>
      <w:bookmarkEnd w:id="260"/>
      <w:r>
        <w:rPr>
          <w:rStyle w:val="1477"/>
          <w:b/>
          <w:bCs/>
          <w:sz w:val="24"/>
          <w:szCs w:val="24"/>
        </w:rPr>
        <w:t xml:space="preserve">ЗАКУПКИ</w:t>
      </w:r>
      <w:bookmarkEnd w:id="261"/>
      <w:r/>
      <w:bookmarkEnd w:id="262"/>
      <w:r/>
      <w:r>
        <w:rPr>
          <w:rStyle w:val="1477"/>
          <w:b/>
          <w:bCs/>
          <w:sz w:val="24"/>
          <w:szCs w:val="24"/>
        </w:rPr>
      </w:r>
    </w:p>
    <w:p>
      <w:r/>
      <w:r/>
    </w:p>
    <w:p>
      <w:pPr>
        <w:ind w:firstLine="567"/>
      </w:pPr>
      <w:r>
        <w:t xml:space="preserve">В части II «ИНФОРМАЦИОННАЯ КАРТА ЗАКУПКИ» содержится информация для данной конкретной закупки, которая уточняет, разъясняет и дополняет положения части «ОБЩИЕ УСЛОВИЯ ПРОВЕДЕНИЯ ЗАКУПКИ». </w:t>
      </w:r>
      <w:r/>
    </w:p>
    <w:p>
      <w:pPr>
        <w:ind w:firstLine="567"/>
      </w:pPr>
      <w:r>
        <w:t xml:space="preserve">При возникновении противоречия между положениями части </w:t>
      </w:r>
      <w:r>
        <w:rPr>
          <w:lang w:val="en-US"/>
        </w:rPr>
        <w:t xml:space="preserve">I</w:t>
      </w:r>
      <w:r>
        <w:t xml:space="preserve"> «ОБЩИЕ УСЛОВИЯ ПРОВЕДЕНИЯ ЗАКУПКИ» и части II «ИНФОРМАЦИОННАЯ КАРТА ЗАКУПКИ», применяются положения Части II.</w:t>
      </w:r>
      <w:r/>
    </w:p>
    <w:tbl>
      <w:tblPr>
        <w:tblW w:w="10456" w:type="dxa"/>
        <w:jc w:val="center"/>
        <w:tblLook w:val="0000" w:firstRow="0" w:lastRow="0" w:firstColumn="0" w:lastColumn="0" w:noHBand="0" w:noVBand="0"/>
      </w:tblPr>
      <w:tblGrid>
        <w:gridCol w:w="675"/>
        <w:gridCol w:w="1560"/>
        <w:gridCol w:w="2425"/>
        <w:gridCol w:w="5796"/>
      </w:tblGrid>
      <w:tr>
        <w:tblPrEx/>
        <w:trPr>
          <w:jc w:val="center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keepLines/>
              <w:spacing w:after="0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</w:t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jc w:val="center"/>
              <w:keepLines/>
              <w:spacing w:after="0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п/п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jc w:val="center"/>
              <w:keepLines/>
              <w:spacing w:after="0"/>
              <w:widowControl w:val="off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Ссылка на разделы, подразделы, пункты и подпункты части «</w:t>
            </w:r>
            <w:r>
              <w:fldChar w:fldCharType="begin"/>
            </w:r>
            <w:r>
              <w:instrText xml:space="preserve"> REF _Ref166642713 \h  \* MERGEFORMAT </w:instrText>
            </w:r>
            <w:r>
              <w:fldChar w:fldCharType="separate"/>
            </w:r>
            <w:r>
              <w:rPr>
                <w:sz w:val="14"/>
                <w:szCs w:val="14"/>
              </w:rPr>
              <w:t xml:space="preserve">ОБЩИЕ УСЛОВИЯ ПРОВЕДЕНИЯ </w:t>
            </w:r>
            <w:r>
              <w:fldChar w:fldCharType="end"/>
            </w:r>
            <w:r>
              <w:rPr>
                <w:sz w:val="14"/>
                <w:szCs w:val="14"/>
              </w:rPr>
              <w:t xml:space="preserve">ЗАКУПКИ</w:t>
            </w:r>
            <w:r>
              <w:rPr>
                <w:b/>
                <w:bCs/>
                <w:sz w:val="14"/>
                <w:szCs w:val="14"/>
              </w:rPr>
              <w:t xml:space="preserve">» </w:t>
            </w:r>
            <w:r>
              <w:rPr>
                <w:b/>
                <w:bCs/>
                <w:sz w:val="14"/>
                <w:szCs w:val="1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vAlign w:val="center"/>
            <w:textDirection w:val="lrTb"/>
            <w:noWrap w:val="false"/>
          </w:tcPr>
          <w:p>
            <w:pPr>
              <w:jc w:val="center"/>
              <w:keepLines/>
              <w:spacing w:after="0"/>
              <w:widowControl w:val="off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</w:t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vAlign w:val="center"/>
            <w:textDirection w:val="lrTb"/>
            <w:noWrap w:val="false"/>
          </w:tcPr>
          <w:p>
            <w:pPr>
              <w:jc w:val="center"/>
              <w:keepLines/>
              <w:spacing w:after="120"/>
              <w:widowControl w:val="off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Информация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blPrEx/>
        <w:trPr>
          <w:jc w:val="center"/>
          <w:trHeight w:val="172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263" w:name="_Ref166267282"/>
            <w:r/>
            <w:bookmarkEnd w:id="263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Наименование, место нахождения, почтовый адрес, адрес электронной почты, номер контактного телефона Заказчика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keepNext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Заказчика: </w:t>
            </w:r>
            <w:r>
              <w:rPr>
                <w:sz w:val="20"/>
                <w:szCs w:val="20"/>
              </w:rPr>
              <w:t xml:space="preserve">Публичное акционерное общество «Федеральная сетевая компания – Россети»</w:t>
            </w:r>
            <w:r>
              <w:rPr>
                <w:b/>
                <w:sz w:val="20"/>
                <w:szCs w:val="20"/>
              </w:rPr>
            </w:r>
          </w:p>
          <w:p>
            <w:pPr>
              <w:keepLines/>
              <w:keepNext/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Место нахождения и почтовый адрес Заказчика:</w:t>
            </w:r>
            <w:r>
              <w:rPr>
                <w:b/>
                <w:sz w:val="20"/>
                <w:szCs w:val="20"/>
              </w:rPr>
            </w:r>
          </w:p>
          <w:p>
            <w:pPr>
              <w:keepLines/>
              <w:keepNext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12135</w:t>
            </w:r>
            <w:r>
              <w:rPr>
                <w:sz w:val="20"/>
                <w:szCs w:val="20"/>
              </w:rPr>
              <w:t xml:space="preserve">3, г. Москва, вн. тер. г. муниципальный округ Можайский, ул. Беловежская, д. 4.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keepNext/>
              <w:spacing w:after="0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E-mail:</w:t>
            </w:r>
            <w:r>
              <w:rPr>
                <w:sz w:val="20"/>
                <w:szCs w:val="20"/>
                <w:lang w:val="en-US"/>
              </w:rPr>
              <w:t xml:space="preserve"> info@fsk-ees.ru</w:t>
            </w:r>
            <w:r>
              <w:rPr>
                <w:sz w:val="20"/>
                <w:szCs w:val="20"/>
                <w:lang w:val="en-US"/>
              </w:rPr>
            </w:r>
          </w:p>
          <w:p>
            <w:pPr>
              <w:keepLines/>
              <w:spacing w:after="0"/>
              <w:widowControl w:val="off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Тел.:</w:t>
            </w:r>
            <w:r>
              <w:rPr>
                <w:sz w:val="20"/>
                <w:szCs w:val="20"/>
              </w:rPr>
              <w:t xml:space="preserve"> 8-800-200-18-81</w:t>
            </w:r>
            <w:r>
              <w:rPr>
                <w:sz w:val="20"/>
                <w:szCs w:val="20"/>
                <w:lang w:val="en-US"/>
              </w:rPr>
            </w:r>
          </w:p>
        </w:tc>
      </w:tr>
      <w:tr>
        <w:tblPrEx/>
        <w:trPr>
          <w:jc w:val="center"/>
          <w:trHeight w:val="211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1.2.3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Наименование, место нахождения, почтовый адрес, адрес электронной почты, номер контактного телефона Организатора закупки</w:t>
            </w:r>
            <w:r>
              <w:rPr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spacing w:after="0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Организатор закупки: </w:t>
            </w:r>
            <w:r>
              <w:rPr>
                <w:b/>
                <w:bCs/>
                <w:iCs/>
                <w:sz w:val="20"/>
                <w:szCs w:val="20"/>
              </w:rPr>
            </w:r>
          </w:p>
          <w:p>
            <w:pPr>
              <w:spacing w:after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Акционерное общество «Россети Центр закупок» </w:t>
            </w:r>
            <w:r>
              <w:rPr>
                <w:bCs/>
                <w:iCs/>
                <w:sz w:val="20"/>
                <w:szCs w:val="20"/>
              </w:rPr>
            </w:r>
          </w:p>
          <w:p>
            <w:pPr>
              <w:spacing w:after="0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Место нахождения и почтовый адрес Организатора: </w:t>
            </w:r>
            <w:r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</w:r>
          </w:p>
          <w:p>
            <w:pPr>
              <w:spacing w:after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121353, г. Москва</w:t>
            </w:r>
            <w:r>
              <w:rPr>
                <w:bCs/>
                <w:iCs/>
                <w:sz w:val="20"/>
                <w:szCs w:val="20"/>
              </w:rPr>
              <w:t xml:space="preserve">, вн. тер. г. муниципальный округ Можайский, ул. Беловежская, д. 4.</w:t>
            </w:r>
            <w:r>
              <w:rPr>
                <w:bCs/>
                <w:iCs/>
                <w:sz w:val="20"/>
                <w:szCs w:val="20"/>
              </w:rPr>
            </w:r>
          </w:p>
          <w:p>
            <w:pPr>
              <w:spacing w:after="0"/>
              <w:rPr>
                <w:iCs/>
                <w:color w:val="0000ff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E</w:t>
            </w:r>
            <w:r>
              <w:rPr>
                <w:sz w:val="20"/>
                <w:szCs w:val="20"/>
                <w:lang w:val="en-US"/>
              </w:rPr>
              <w:t xml:space="preserve">-</w:t>
            </w:r>
            <w:r>
              <w:rPr>
                <w:sz w:val="20"/>
                <w:szCs w:val="20"/>
                <w:lang w:val="en-US"/>
              </w:rPr>
              <w:t xml:space="preserve">mail</w:t>
            </w:r>
            <w:r>
              <w:rPr>
                <w:sz w:val="20"/>
                <w:szCs w:val="20"/>
                <w:lang w:val="en-US"/>
              </w:rPr>
              <w:t xml:space="preserve">: </w:t>
            </w:r>
            <w:hyperlink r:id="rId21" w:tooltip="mailto:info@rosseti-zakupki.ru" w:history="1">
              <w:r>
                <w:rPr>
                  <w:rStyle w:val="1402"/>
                  <w:sz w:val="20"/>
                  <w:szCs w:val="20"/>
                  <w:lang w:val="en-US"/>
                </w:rPr>
                <w:t xml:space="preserve">info</w:t>
              </w:r>
              <w:r>
                <w:rPr>
                  <w:rStyle w:val="1402"/>
                  <w:sz w:val="20"/>
                  <w:szCs w:val="20"/>
                  <w:lang w:val="en-US"/>
                </w:rPr>
                <w:t xml:space="preserve">@</w:t>
              </w:r>
              <w:r>
                <w:rPr>
                  <w:rStyle w:val="1402"/>
                  <w:sz w:val="20"/>
                  <w:szCs w:val="20"/>
                  <w:lang w:val="en-US"/>
                </w:rPr>
                <w:t xml:space="preserve">rosseti</w:t>
              </w:r>
              <w:r>
                <w:rPr>
                  <w:rStyle w:val="1402"/>
                  <w:sz w:val="20"/>
                  <w:szCs w:val="20"/>
                  <w:lang w:val="en-US"/>
                </w:rPr>
                <w:t xml:space="preserve">-</w:t>
              </w:r>
              <w:r>
                <w:rPr>
                  <w:rStyle w:val="1402"/>
                  <w:sz w:val="20"/>
                  <w:szCs w:val="20"/>
                  <w:lang w:val="en-US"/>
                </w:rPr>
                <w:t xml:space="preserve">zakupki</w:t>
              </w:r>
              <w:r>
                <w:rPr>
                  <w:rStyle w:val="1402"/>
                  <w:sz w:val="20"/>
                  <w:szCs w:val="20"/>
                  <w:lang w:val="en-US"/>
                </w:rPr>
                <w:t xml:space="preserve">.</w:t>
              </w:r>
              <w:r>
                <w:rPr>
                  <w:rStyle w:val="1402"/>
                  <w:sz w:val="20"/>
                  <w:szCs w:val="20"/>
                  <w:lang w:val="en-US"/>
                </w:rPr>
                <w:t xml:space="preserve">ru</w:t>
              </w:r>
            </w:hyperlink>
            <w:r>
              <w:rPr>
                <w:sz w:val="20"/>
                <w:szCs w:val="20"/>
                <w:lang w:val="en-US"/>
              </w:rPr>
              <w:t xml:space="preserve">   </w:t>
            </w:r>
            <w:r>
              <w:rPr>
                <w:iCs/>
                <w:color w:val="0000ff"/>
                <w:sz w:val="20"/>
                <w:szCs w:val="20"/>
                <w:lang w:val="en-US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Тел.: +7 (495) 710-9333, доб. 30-10, 30-14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tabs>
                <w:tab w:val="left" w:pos="3255" w:leader="none"/>
              </w:tabs>
              <w:rPr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Контактное лицо Организатор</w:t>
            </w:r>
            <w:r>
              <w:rPr>
                <w:b/>
                <w:bCs/>
                <w:iCs/>
                <w:sz w:val="20"/>
                <w:szCs w:val="20"/>
              </w:rPr>
              <w:t xml:space="preserve">а: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</w:pPr>
            <w:r>
              <w:rPr>
                <w:sz w:val="20"/>
                <w:szCs w:val="20"/>
              </w:rPr>
              <w:t xml:space="preserve">Кириллова Анна Андреевна, специалист по конкурентным закупкам II категории направления проведения закупочных процедур АО «Россети Центр закупок», E-mail: kirillova@rosseti-zakupki.ru ,  Тел.: (495) 710-93-33, доб. 30-07.</w:t>
            </w:r>
            <w:r/>
          </w:p>
        </w:tc>
      </w:tr>
      <w:tr>
        <w:tblPrEx/>
        <w:trPr>
          <w:jc w:val="center"/>
          <w:trHeight w:val="140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264" w:name="_Ref166267388"/>
            <w:r/>
            <w:bookmarkStart w:id="265" w:name="_Ref166267499"/>
            <w:r/>
            <w:bookmarkStart w:id="266" w:name="_Ref166267456"/>
            <w:r/>
            <w:bookmarkStart w:id="267" w:name="_Ref354428801"/>
            <w:r/>
            <w:bookmarkEnd w:id="264"/>
            <w:r/>
            <w:bookmarkEnd w:id="265"/>
            <w:r/>
            <w:bookmarkEnd w:id="266"/>
            <w:r/>
            <w:bookmarkEnd w:id="267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1116"/>
              <w:ind w:left="0"/>
              <w:keepLines/>
              <w:keepNext w:val="0"/>
              <w:spacing w:before="0" w:after="0"/>
              <w:widowControl w:val="off"/>
              <w:tabs>
                <w:tab w:val="left" w:pos="284" w:leader="none"/>
                <w:tab w:val="clear" w:pos="312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keepLines/>
              <w:widowControl w:val="off"/>
              <w:tabs>
                <w:tab w:val="left" w:pos="284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keepLines/>
              <w:widowControl w:val="off"/>
              <w:tabs>
                <w:tab w:val="left" w:pos="284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Предмет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 заключения договора на выполнение работ развитию автоматизированной системы управления персоналом (АСУП) в Публичном акционерном обществе «Федеральная сетевая компания - Россети».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предмета закупки в соответствии с частью 6.1 </w:t>
            </w:r>
            <w:r>
              <w:rPr>
                <w:sz w:val="20"/>
                <w:szCs w:val="20"/>
              </w:rPr>
              <w:t xml:space="preserve">статьи 3 Закона 223-ФЗ установлено в части </w:t>
            </w:r>
            <w:r>
              <w:rPr>
                <w:sz w:val="20"/>
                <w:szCs w:val="20"/>
                <w:lang w:val="en-US"/>
              </w:rPr>
              <w:t xml:space="preserve">V</w:t>
            </w:r>
            <w:r>
              <w:rPr>
                <w:sz w:val="20"/>
                <w:szCs w:val="20"/>
              </w:rPr>
              <w:t xml:space="preserve"> «Техническая часть» документации о закупке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  <w:trHeight w:val="44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268" w:name="_Ref166267457"/>
            <w:r/>
            <w:bookmarkStart w:id="269" w:name="_Ref354440659"/>
            <w:r/>
            <w:bookmarkEnd w:id="268"/>
            <w:r/>
            <w:bookmarkEnd w:id="269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Место, условия и сроки (периоды) поставки товара, выполнения работы, оказания услуги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ind w:right="6"/>
              <w:keepLines/>
              <w:spacing w:after="120"/>
              <w:shd w:val="clear" w:color="auto" w:fill="ffffff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Место выполнения работ: по месту нахождения Заказчика. </w:t>
            </w:r>
            <w:r>
              <w:rPr>
                <w:bCs/>
                <w:sz w:val="20"/>
                <w:szCs w:val="20"/>
              </w:rPr>
            </w:r>
          </w:p>
          <w:p>
            <w:pPr>
              <w:ind w:right="6"/>
              <w:keepLines/>
              <w:spacing w:after="120"/>
              <w:shd w:val="clear" w:color="auto" w:fill="ffffff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выполнения работ: не более 12 месяцев</w:t>
            </w:r>
            <w:r>
              <w:rPr>
                <w:iCs/>
                <w:sz w:val="20"/>
                <w:szCs w:val="20"/>
              </w:rPr>
              <w:t xml:space="preserve"> с даты заключения Договора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  <w:p>
            <w:pPr>
              <w:ind w:right="6"/>
              <w:keepLines/>
              <w:spacing w:after="120"/>
              <w:shd w:val="clear" w:color="auto" w:fill="ffffff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выполнения работ указаны в части </w:t>
            </w:r>
            <w:r>
              <w:rPr>
                <w:sz w:val="20"/>
                <w:szCs w:val="20"/>
                <w:lang w:val="en-US"/>
              </w:rPr>
              <w:t xml:space="preserve">IV</w:t>
            </w:r>
            <w:r>
              <w:rPr>
                <w:sz w:val="20"/>
                <w:szCs w:val="20"/>
              </w:rPr>
              <w:t xml:space="preserve"> «Проект договора» настоящей документации о закупке.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270" w:name="_Ref166267727"/>
            <w:r/>
            <w:bookmarkStart w:id="271" w:name="_Ref354428953"/>
            <w:r/>
            <w:bookmarkEnd w:id="270"/>
            <w:r/>
            <w:bookmarkEnd w:id="271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1.3.1, 3.5.1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Сведения о начальной (максимальной) цене договора, либо формула цены, и м</w:t>
            </w:r>
            <w:r>
              <w:rPr>
                <w:sz w:val="18"/>
                <w:szCs w:val="18"/>
              </w:rPr>
              <w:t xml:space="preserve">аксимальное значение цены договора, либо цена единицы товара, работы, услуги и максимальное значение цены договора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tabs>
                <w:tab w:val="left" w:pos="110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Начальная (максимальная) цена договора составляет: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numPr>
                <w:ilvl w:val="0"/>
                <w:numId w:val="63"/>
              </w:numPr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140 484 952,00 руб. с НДС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numPr>
                <w:ilvl w:val="0"/>
                <w:numId w:val="63"/>
              </w:numPr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115 151 600,00 руб. без НДС </w:t>
            </w:r>
            <w:r>
              <w:rPr>
                <w:sz w:val="20"/>
                <w:szCs w:val="20"/>
                <w:lang w:val="en-US"/>
              </w:rPr>
              <w:t xml:space="preserve">(22*)</w:t>
            </w:r>
            <w:r>
              <w:rPr>
                <w:sz w:val="20"/>
                <w:szCs w:val="20"/>
              </w:rPr>
            </w:r>
          </w:p>
          <w:p>
            <w:pPr>
              <w:tabs>
                <w:tab w:val="left" w:pos="110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120"/>
              <w:tabs>
                <w:tab w:val="left" w:pos="1100" w:leader="none"/>
              </w:tabs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* 22% - это</w:t>
            </w:r>
            <w:r>
              <w:rPr>
                <w:i/>
                <w:iCs/>
                <w:sz w:val="18"/>
                <w:szCs w:val="18"/>
              </w:rPr>
              <w:t xml:space="preserve"> максимальный размер ставки НДС, который в соответствии с НК РФ начисляется на продукцию, являющуюся предметом закупки, при ее реализации на территории РФ. Размер ставки НДС подлежит уточнению в договоре, заключаемом по итогам закупки, с учетом системы нал</w:t>
            </w:r>
            <w:r>
              <w:rPr>
                <w:i/>
                <w:iCs/>
                <w:sz w:val="18"/>
                <w:szCs w:val="18"/>
              </w:rPr>
              <w:t xml:space="preserve">огообложения, применяемой победителем закупки.</w:t>
            </w:r>
            <w:r>
              <w:rPr>
                <w:i/>
                <w:iCs/>
                <w:sz w:val="18"/>
                <w:szCs w:val="18"/>
              </w:rPr>
            </w:r>
          </w:p>
          <w:p>
            <w:pPr>
              <w:spacing w:after="120"/>
              <w:tabs>
                <w:tab w:val="left" w:pos="110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Начальная (максимальная) цена договора включает в себя все затраты Исполнителя, связанные с исполнением Договора, в том </w:t>
            </w:r>
            <w:r>
              <w:rPr>
                <w:sz w:val="20"/>
                <w:szCs w:val="20"/>
              </w:rPr>
              <w:t xml:space="preserve">числе, налоги, сборы, платежи, таможенные пошлины, другие обязательные отчисления, которы</w:t>
            </w:r>
            <w:r>
              <w:rPr>
                <w:sz w:val="20"/>
                <w:szCs w:val="20"/>
              </w:rPr>
              <w:t xml:space="preserve">е производятся Исполнителем в соответствии с установленным законодательством Российской Федерации порядком, иные возможные затраты. </w:t>
            </w:r>
            <w:r>
              <w:rPr>
                <w:sz w:val="20"/>
                <w:szCs w:val="20"/>
              </w:rPr>
            </w:r>
          </w:p>
          <w:p>
            <w:pPr>
              <w:spacing w:after="120"/>
              <w:tabs>
                <w:tab w:val="left" w:pos="110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 налогов указывается в соответствии с применяемой участником системой налогообложения, либо делается пометка, что НДС</w:t>
            </w:r>
            <w:r>
              <w:rPr>
                <w:sz w:val="20"/>
                <w:szCs w:val="20"/>
              </w:rPr>
              <w:t xml:space="preserve"> не облагается.</w:t>
            </w:r>
            <w:r>
              <w:rPr>
                <w:sz w:val="20"/>
                <w:szCs w:val="20"/>
              </w:rPr>
            </w:r>
          </w:p>
          <w:p>
            <w:pPr>
              <w:spacing w:after="120"/>
              <w:tabs>
                <w:tab w:val="left" w:pos="110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расходы должны быть включены в расценки и общую цену заявки, представленной участником закупки.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ind w:left="0"/>
              <w:keepLines/>
              <w:keepNext w:val="0"/>
              <w:spacing w:before="0" w:after="0"/>
              <w:widowControl w:val="off"/>
              <w:tabs>
                <w:tab w:val="left" w:pos="284" w:leader="none"/>
                <w:tab w:val="clear" w:pos="312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5.1.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tabs>
                <w:tab w:val="left" w:pos="70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Обоснование начальной (максимальной) цены</w:t>
            </w:r>
            <w:r>
              <w:rPr>
                <w:sz w:val="20"/>
                <w:szCs w:val="20"/>
              </w:rPr>
              <w:t xml:space="preserve"> договора приведено в части </w:t>
            </w:r>
            <w:r>
              <w:rPr>
                <w:sz w:val="20"/>
                <w:szCs w:val="20"/>
                <w:lang w:val="en-US"/>
              </w:rPr>
              <w:t xml:space="preserve">VI</w:t>
            </w:r>
            <w:r>
              <w:rPr>
                <w:sz w:val="20"/>
                <w:szCs w:val="20"/>
              </w:rPr>
              <w:t xml:space="preserve"> «Обоснование начальной (максимальной) цены договора» настоящей документации о закупке.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Форма, сроки и порядок оплаты товара, работы, услуги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Подробная информация о форме, сроках и порядке оплаты товара, работ содержитс</w:t>
            </w:r>
            <w:r>
              <w:rPr>
                <w:sz w:val="20"/>
                <w:szCs w:val="20"/>
              </w:rPr>
              <w:t xml:space="preserve">я в части </w:t>
            </w:r>
            <w:r>
              <w:rPr>
                <w:sz w:val="20"/>
                <w:szCs w:val="20"/>
                <w:lang w:val="en-US"/>
              </w:rPr>
              <w:t xml:space="preserve">IV</w:t>
            </w:r>
            <w:r>
              <w:rPr>
                <w:sz w:val="20"/>
                <w:szCs w:val="20"/>
              </w:rPr>
              <w:t xml:space="preserve"> «Проект договора» настоящей документации о закупке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5.4. 5.5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Применяемые этапы проведения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495"/>
              <w:numPr>
                <w:ilvl w:val="0"/>
                <w:numId w:val="10"/>
              </w:numPr>
              <w:ind w:left="317" w:hanging="283"/>
              <w:jc w:val="both"/>
              <w:keepLines/>
              <w:spacing w:after="120"/>
              <w:widowControl w:val="off"/>
              <w:tabs>
                <w:tab w:val="left" w:pos="459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Рассмотрение заявок участников, на участие в закупке на соответствие установленным требованиям</w:t>
            </w:r>
            <w:r>
              <w:rPr>
                <w:b/>
                <w:sz w:val="20"/>
                <w:szCs w:val="20"/>
              </w:rPr>
              <w:t xml:space="preserve">;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numPr>
                <w:ilvl w:val="0"/>
                <w:numId w:val="10"/>
              </w:numPr>
              <w:ind w:left="317" w:hanging="283"/>
              <w:jc w:val="both"/>
              <w:keepLines/>
              <w:spacing w:after="120"/>
              <w:widowControl w:val="off"/>
              <w:tabs>
                <w:tab w:val="left" w:pos="459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Подведение итогов закупки, в рамках которых осуществляется оценка и сопоставление заявок участников, допущенных до участия в закупке по результатам рассмотрения</w:t>
            </w:r>
            <w:r>
              <w:rPr>
                <w:sz w:val="20"/>
                <w:szCs w:val="20"/>
              </w:rPr>
              <w:t xml:space="preserve"> заявок, выбор победителя закупки.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ind w:left="0"/>
              <w:keepLines/>
              <w:keepNext w:val="0"/>
              <w:spacing w:before="0" w:after="0"/>
              <w:widowControl w:val="off"/>
              <w:tabs>
                <w:tab w:val="left" w:pos="284" w:leader="none"/>
                <w:tab w:val="clear" w:pos="312" w:leader="none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7.1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5.4.9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Проведение переторжки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495"/>
              <w:ind w:left="34"/>
              <w:jc w:val="both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ind w:left="34"/>
              <w:jc w:val="both"/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под</w:t>
            </w:r>
            <w:r>
              <w:rPr>
                <w:sz w:val="20"/>
                <w:szCs w:val="20"/>
              </w:rPr>
              <w:t xml:space="preserve">ачи ценового предложения в соответствии с п. 5.4.10 части I «ОБЩИЕ УСЛОВИЯ ПРОВЕДЕНИЯ ЗАКУПКИ», участник закупки должен разместить на ЭП «РТС-Тендер» в соответствии с функционалом ЭП  актуализированные документы, содержащие ценовое предложение «Письмо о по</w:t>
            </w:r>
            <w:r>
              <w:rPr>
                <w:sz w:val="20"/>
                <w:szCs w:val="20"/>
              </w:rPr>
              <w:t xml:space="preserve">даче оферты», «График выполнения работ», «Сводная таблица стоимости работ» по формам и в соответствии с инструкциями, приведенными в настоящей документации о закупке (часть III «ОБРАЗЦЫ ФОРМ ДЛЯ ЗАПОЛНЕНИЯ УЧАСТНИКАМИ ЗАКУПКИ», форма 1, форма 3, форма 4). 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tabs>
                <w:tab w:val="left" w:pos="459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участник не участвовал в переторжке ранее поданное им ценовое предложение рассматривается при составлении итогового протокола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4.1, 5.3, 5.4, 5.5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Порядок, дата начала, дата и время окончания срока подачи заявок на участие в закупке (этапах закупки) </w:t>
            </w:r>
            <w:r>
              <w:rPr>
                <w:sz w:val="18"/>
                <w:szCs w:val="18"/>
              </w:rPr>
              <w:t xml:space="preserve">и порядок подведения итогов закупки (этапов закупки).</w:t>
            </w:r>
            <w:r>
              <w:rPr>
                <w:sz w:val="18"/>
                <w:szCs w:val="18"/>
              </w:rPr>
            </w:r>
          </w:p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рассмотрения предложений участников такой закупки и подведения итогов такой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spacing w:after="0" w:line="17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</w:t>
            </w:r>
            <w:r>
              <w:rPr>
                <w:color w:val="000000"/>
                <w:sz w:val="20"/>
                <w:szCs w:val="20"/>
              </w:rPr>
              <w:t xml:space="preserve">аявка подается в электронной форме с использованием функционала и в соответствии с Регламентом работы ЭП.</w:t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spacing w:after="0" w:line="17" w:lineRule="atLeast"/>
              <w:rPr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u w:val="single"/>
              </w:rPr>
            </w:r>
            <w:r>
              <w:rPr>
                <w:color w:val="000000"/>
                <w:sz w:val="20"/>
                <w:szCs w:val="20"/>
                <w:u w:val="single"/>
              </w:rPr>
            </w:r>
          </w:p>
          <w:p>
            <w:pPr>
              <w:spacing w:after="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Сроки подачи заявок:</w:t>
            </w:r>
            <w:r>
              <w:rPr>
                <w:sz w:val="20"/>
                <w:szCs w:val="20"/>
                <w:u w:val="singl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Дата начала срока подачи заявок:  «16» октября 2026 г.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Дата и время окончания срока, последний день срока подачи Заявок: «02» ноября 2026 г.  12:00 (время московское)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Открытие доступа к заявкам «02» ноября 2026 г. 12:00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(время московское)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Рассмотрение заявок: 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Дата проведения этапа: не позднее «12» ноября 2026 г.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Шаг переторжки – 983 000,00 рублей.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contextualSpacing/>
              <w:spacing w:after="0" w:line="240" w:lineRule="auto"/>
              <w:rPr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Подведение итогов: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highlight w:val="none"/>
              </w:rPr>
              <w:t xml:space="preserve">Дата проведения этапа: не позднее «19» ноября 2026 г. 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0" w:line="17" w:lineRule="atLeast"/>
              <w:widowControl w:val="o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Style w:val="1511"/>
              <w:jc w:val="both"/>
              <w:spacing w:line="17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проведения этапов, осуществляемых после окончания срока подачи заявок, могут быть изменены по решению Закупочной комиссии.</w:t>
            </w:r>
            <w:r>
              <w:rPr>
                <w:sz w:val="20"/>
                <w:szCs w:val="20"/>
              </w:rPr>
            </w:r>
          </w:p>
          <w:p>
            <w:pPr>
              <w:pStyle w:val="1511"/>
              <w:jc w:val="both"/>
              <w:spacing w:line="17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1511"/>
              <w:jc w:val="both"/>
              <w:spacing w:line="17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провед</w:t>
            </w:r>
            <w:r>
              <w:rPr>
                <w:sz w:val="20"/>
                <w:szCs w:val="20"/>
              </w:rPr>
              <w:t xml:space="preserve">ения этапов закупки установлен в подразделе 5 части I «ОБЩИЕ УСЛОВИЯ ПРОВЕДЕНИЯ ЗАКУПКИ» доку</w:t>
            </w:r>
            <w:r>
              <w:rPr>
                <w:sz w:val="20"/>
                <w:szCs w:val="20"/>
              </w:rPr>
              <w:t xml:space="preserve">ментации о закупке.</w:t>
            </w:r>
            <w:r>
              <w:rPr>
                <w:sz w:val="20"/>
                <w:szCs w:val="20"/>
              </w:rPr>
            </w:r>
          </w:p>
          <w:p>
            <w:pPr>
              <w:pStyle w:val="1511"/>
              <w:jc w:val="both"/>
              <w:spacing w:line="17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ind w:left="0"/>
              <w:jc w:val="left"/>
              <w:keepLines/>
              <w:keepNext w:val="0"/>
              <w:spacing w:before="0" w:after="0"/>
              <w:widowControl w:val="off"/>
              <w:tabs>
                <w:tab w:val="left" w:pos="284" w:leader="none"/>
                <w:tab w:val="clear" w:pos="312" w:leader="none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8.1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Порядок подачи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пакета</w:t>
            </w:r>
            <w:r>
              <w:rPr>
                <w:sz w:val="18"/>
                <w:szCs w:val="18"/>
              </w:rPr>
              <w:t xml:space="preserve"> документов в бумажной форме, подтверждающих сведения содержащихся в заявке участника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511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Пакет документов запечатывается в конверт, обозначаемый словами «Пакет документов в бумажной форме к Заявке»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На конверте необходимо указать следующие сведения: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ind w:left="317" w:hanging="317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</w:t>
            </w:r>
            <w:r>
              <w:rPr>
                <w:bCs/>
                <w:sz w:val="20"/>
                <w:szCs w:val="20"/>
              </w:rPr>
              <w:tab/>
              <w:t xml:space="preserve">наименов</w:t>
            </w:r>
            <w:r>
              <w:rPr>
                <w:bCs/>
                <w:sz w:val="20"/>
                <w:szCs w:val="20"/>
              </w:rPr>
              <w:t xml:space="preserve">ание и адрес Организатора закупки в соответствии с пунктом 2</w:t>
            </w:r>
            <w:r>
              <w:rPr>
                <w:sz w:val="20"/>
                <w:szCs w:val="20"/>
              </w:rPr>
              <w:t xml:space="preserve"> 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</w:t>
            </w:r>
            <w:r>
              <w:rPr>
                <w:bCs/>
                <w:sz w:val="20"/>
                <w:szCs w:val="20"/>
              </w:rPr>
              <w:t xml:space="preserve">;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ind w:left="317" w:hanging="317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</w:t>
            </w:r>
            <w:r>
              <w:rPr>
                <w:bCs/>
                <w:sz w:val="20"/>
                <w:szCs w:val="20"/>
              </w:rPr>
              <w:tab/>
              <w:t xml:space="preserve">полное фирменное наименование Участника закупки и его почтовый адрес;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ind w:left="317" w:hanging="317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•</w:t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 xml:space="preserve">предмет закупки в соответствии с пунктом 3 </w:t>
            </w:r>
            <w:r>
              <w:rPr>
                <w:sz w:val="20"/>
                <w:szCs w:val="20"/>
              </w:rPr>
              <w:t xml:space="preserve">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ЗАКУПКИ».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jc w:val="both"/>
              <w:spacing w:before="60" w:after="120"/>
              <w:rPr>
                <w:bCs/>
                <w:color w:val="auto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Участники должны обеспечить доставку своих пакетов</w:t>
            </w:r>
            <w:r>
              <w:rPr>
                <w:bCs/>
                <w:color w:val="auto"/>
                <w:sz w:val="20"/>
                <w:szCs w:val="20"/>
              </w:rPr>
              <w:t xml:space="preserve"> документов по адресу Организатора контактному лицу Организатора закупки (</w:t>
            </w:r>
            <w:r>
              <w:rPr>
                <w:bCs/>
                <w:sz w:val="20"/>
                <w:szCs w:val="20"/>
              </w:rPr>
              <w:t xml:space="preserve">п. 2</w:t>
            </w:r>
            <w:r>
              <w:rPr>
                <w:sz w:val="20"/>
                <w:szCs w:val="20"/>
              </w:rPr>
              <w:t xml:space="preserve"> 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</w:t>
            </w:r>
            <w:r>
              <w:rPr>
                <w:bCs/>
                <w:sz w:val="20"/>
                <w:szCs w:val="20"/>
              </w:rPr>
              <w:t xml:space="preserve">)</w:t>
            </w:r>
            <w:r>
              <w:rPr>
                <w:bCs/>
                <w:color w:val="auto"/>
                <w:sz w:val="20"/>
                <w:szCs w:val="20"/>
              </w:rPr>
              <w:t xml:space="preserve"> </w:t>
            </w:r>
            <w:r>
              <w:rPr>
                <w:bCs/>
                <w:color w:val="auto"/>
                <w:sz w:val="20"/>
                <w:szCs w:val="20"/>
              </w:rPr>
            </w:r>
          </w:p>
          <w:p>
            <w:pPr>
              <w:pStyle w:val="1511"/>
              <w:jc w:val="both"/>
              <w:spacing w:before="60" w:after="12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Для обеспечения своевременной подачи Пакета документов Участнику необходимо за день до подачи Заявки направить на адрес электронной поч</w:t>
            </w:r>
            <w:r>
              <w:rPr>
                <w:color w:val="auto"/>
                <w:sz w:val="20"/>
                <w:szCs w:val="20"/>
              </w:rPr>
              <w:t xml:space="preserve">ты контактного лица </w:t>
            </w:r>
            <w:r>
              <w:rPr>
                <w:sz w:val="20"/>
                <w:szCs w:val="20"/>
              </w:rPr>
              <w:t xml:space="preserve">данные на пропуск в здание (наименование компании, Ф.И.О. представителя). </w:t>
            </w:r>
            <w:r>
              <w:rPr>
                <w:color w:val="auto"/>
                <w:sz w:val="20"/>
                <w:szCs w:val="20"/>
              </w:rPr>
            </w:r>
          </w:p>
          <w:p>
            <w:pPr>
              <w:pStyle w:val="1511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Представителю Участника, доставляющему пакет документов, необходимо иметь при себе документ, удостоверяющий личность (паспорт). В случае направления пакета докум</w:t>
            </w:r>
            <w:r>
              <w:rPr>
                <w:sz w:val="20"/>
                <w:szCs w:val="20"/>
              </w:rPr>
              <w:t xml:space="preserve">ентов через курьерскую службу необходимо уведомить представителя курьерской службы или курьера о настоящем порядке доставки пакета документов. При этом Участнику необходимо предварительно позвонить по указанному выше телефону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jc w:val="both"/>
              <w:keepLines/>
              <w:spacing w:after="120"/>
              <w:widowControl w:val="off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Пакет документов в бумажной ф</w:t>
            </w:r>
            <w:r>
              <w:rPr>
                <w:bCs/>
                <w:sz w:val="20"/>
                <w:szCs w:val="20"/>
              </w:rPr>
              <w:t xml:space="preserve">орме должен быть подан до истечения срока </w:t>
            </w:r>
            <w:r>
              <w:rPr>
                <w:sz w:val="20"/>
                <w:szCs w:val="20"/>
              </w:rPr>
              <w:t xml:space="preserve">подачи Заявок</w:t>
            </w:r>
            <w:r>
              <w:rPr>
                <w:bCs/>
                <w:sz w:val="20"/>
                <w:szCs w:val="20"/>
              </w:rPr>
              <w:t xml:space="preserve">, указанного </w:t>
            </w:r>
            <w:r>
              <w:rPr>
                <w:sz w:val="20"/>
                <w:szCs w:val="20"/>
              </w:rPr>
              <w:t xml:space="preserve">пункте 8 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</w:t>
            </w:r>
            <w:r>
              <w:rPr>
                <w:bCs/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1511"/>
              <w:jc w:val="both"/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Документы, поступившие позже срока, указанного в </w:t>
            </w:r>
            <w:r>
              <w:rPr>
                <w:sz w:val="20"/>
                <w:szCs w:val="20"/>
              </w:rPr>
              <w:t xml:space="preserve">пункте 8 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ЗАКУПКИ», </w:t>
            </w:r>
            <w:r>
              <w:rPr>
                <w:bCs/>
                <w:sz w:val="20"/>
                <w:szCs w:val="20"/>
              </w:rPr>
              <w:t xml:space="preserve">Организатором не принимаются.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1.4, 5</w:t>
            </w:r>
            <w:r>
              <w:rPr>
                <w:sz w:val="20"/>
                <w:szCs w:val="20"/>
              </w:rPr>
              <w:t xml:space="preserve">.4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Требования к участникам закупки</w:t>
            </w:r>
            <w:r>
              <w:rPr>
                <w:sz w:val="18"/>
                <w:szCs w:val="18"/>
              </w:rPr>
            </w:r>
          </w:p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495"/>
              <w:numPr>
                <w:ilvl w:val="0"/>
                <w:numId w:val="46"/>
              </w:numPr>
              <w:ind w:left="322" w:hanging="322"/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Участником закупки может быть: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numPr>
                <w:ilvl w:val="0"/>
                <w:numId w:val="45"/>
              </w:numPr>
              <w:ind w:left="324" w:hanging="284"/>
              <w:jc w:val="both"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любое юридическое лицо или несколько юридичес</w:t>
            </w:r>
            <w:r>
              <w:rPr>
                <w:sz w:val="20"/>
                <w:szCs w:val="20"/>
              </w:rPr>
              <w:t xml:space="preserve">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 </w:t>
            </w:r>
            <w:hyperlink r:id="rId22" w:tooltip="https://internet.garant.ru/#/document/404991865/entry/1" w:anchor="/document/404991865/entry/1" w:history="1">
              <w:r>
                <w:rPr>
                  <w:sz w:val="20"/>
                  <w:szCs w:val="20"/>
                </w:rPr>
                <w:t xml:space="preserve">Федеральным законом</w:t>
              </w:r>
            </w:hyperlink>
            <w:r>
              <w:rPr>
                <w:sz w:val="20"/>
                <w:szCs w:val="20"/>
              </w:rPr>
              <w:t xml:space="preserve"> от 14 июля 2022 года N 255-ФЗ "О контроле за деятельностью лиц, находящихся под иностранным влияни</w:t>
            </w:r>
            <w:r>
              <w:rPr>
                <w:sz w:val="20"/>
                <w:szCs w:val="20"/>
              </w:rPr>
              <w:t xml:space="preserve">ем", и/или находящегося под санкциями и </w:t>
            </w:r>
            <w:r>
              <w:rPr>
                <w:sz w:val="20"/>
                <w:szCs w:val="20"/>
              </w:rPr>
              <w:t xml:space="preserve">включенного в перечень юридических лиц, в отношении которых применяются специальные экономические меры, утвержденный Постановлением Правительства Российской Федерации от 11 мая 2022 г. N 851 «О мерах по реализации Ук</w:t>
            </w:r>
            <w:r>
              <w:rPr>
                <w:sz w:val="20"/>
                <w:szCs w:val="20"/>
              </w:rPr>
              <w:t xml:space="preserve">аза Президента Российской Федерации от 3 мая 2022 г. N 252». 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numPr>
                <w:ilvl w:val="0"/>
                <w:numId w:val="45"/>
              </w:numPr>
              <w:ind w:left="324" w:hanging="284"/>
              <w:jc w:val="both"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</w:t>
            </w:r>
            <w:r>
              <w:rPr>
                <w:sz w:val="20"/>
                <w:szCs w:val="20"/>
              </w:rPr>
              <w:t xml:space="preserve">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 года N 255-ФЗ "О контроле за деятельностью лиц, находящихся под иностранным влиянием", </w:t>
            </w:r>
            <w:r>
              <w:rPr>
                <w:sz w:val="20"/>
                <w:szCs w:val="20"/>
              </w:rPr>
              <w:t xml:space="preserve">и/или находящегося под санкциями в соответствии с Указом Президента Российской Федерации от 03.05.2022 N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</w:t>
            </w:r>
            <w:r>
              <w:rPr>
                <w:sz w:val="20"/>
                <w:szCs w:val="20"/>
              </w:rPr>
              <w:t xml:space="preserve">аций»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numPr>
                <w:ilvl w:val="0"/>
                <w:numId w:val="46"/>
              </w:numPr>
              <w:ind w:left="322" w:hanging="322"/>
              <w:jc w:val="both"/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Чтобы претендовать на победу в закупке и получения права заключить договор, участник закупки должен отвечать следующим установленным требованиям:</w:t>
            </w:r>
            <w:r>
              <w:rPr>
                <w:sz w:val="20"/>
                <w:szCs w:val="20"/>
              </w:rPr>
            </w:r>
          </w:p>
          <w:p>
            <w:pPr>
              <w:numPr>
                <w:ilvl w:val="4"/>
                <w:numId w:val="20"/>
              </w:numPr>
              <w:ind w:left="334" w:hanging="283"/>
              <w:keepLines/>
              <w:spacing w:after="120"/>
              <w:widowControl w:val="off"/>
              <w:tabs>
                <w:tab w:val="num" w:pos="334" w:leader="none"/>
                <w:tab w:val="clear" w:pos="1277" w:leader="none"/>
              </w:tabs>
              <w:rPr>
                <w:sz w:val="20"/>
                <w:szCs w:val="20"/>
              </w:rPr>
            </w:pPr>
            <w:r/>
            <w:bookmarkStart w:id="272" w:name="_Ref303614975"/>
            <w:r/>
            <w:bookmarkStart w:id="273" w:name="_Ref303599765"/>
            <w:r>
              <w:rPr>
                <w:sz w:val="20"/>
                <w:szCs w:val="20"/>
              </w:rPr>
              <w:t xml:space="preserve">должен обладать гражданской правоспособностью в полном объеме для заключения и исполнения Договора (физическое лицо – обладать дееспособностью в полном объеме для заключения и исполнения Договора);</w:t>
            </w:r>
            <w:bookmarkEnd w:id="272"/>
            <w:r/>
            <w:bookmarkEnd w:id="273"/>
            <w:r/>
            <w:r>
              <w:rPr>
                <w:sz w:val="20"/>
                <w:szCs w:val="20"/>
              </w:rPr>
            </w:r>
          </w:p>
          <w:p>
            <w:pPr>
              <w:numPr>
                <w:ilvl w:val="4"/>
                <w:numId w:val="20"/>
              </w:numPr>
              <w:ind w:left="334" w:hanging="283"/>
              <w:spacing w:after="120"/>
              <w:widowControl w:val="off"/>
              <w:tabs>
                <w:tab w:val="num" w:pos="334" w:leader="none"/>
                <w:tab w:val="clear" w:pos="127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должен находиться в процессе ликвидации; должно отсутст</w:t>
            </w:r>
            <w:r>
              <w:rPr>
                <w:sz w:val="20"/>
                <w:szCs w:val="20"/>
              </w:rPr>
              <w:t xml:space="preserve">вовать решение арбитражного суда о признании Участника закупки банкротом и об открытии конкурсного производства; на имущество Участника закупки не должен быть наложен арест; экономическая деятельность Участника закупки не должна быть приостановлена (для юр</w:t>
            </w:r>
            <w:r>
              <w:rPr>
                <w:sz w:val="20"/>
                <w:szCs w:val="20"/>
              </w:rPr>
              <w:t xml:space="preserve">идического лица, индивидуального предпринимателя).  </w:t>
            </w:r>
            <w:r>
              <w:rPr>
                <w:sz w:val="20"/>
                <w:szCs w:val="20"/>
              </w:rPr>
            </w:r>
          </w:p>
          <w:p>
            <w:pPr>
              <w:numPr>
                <w:ilvl w:val="4"/>
                <w:numId w:val="20"/>
              </w:numPr>
              <w:ind w:left="334" w:hanging="283"/>
              <w:spacing w:after="120"/>
              <w:widowControl w:val="off"/>
              <w:tabs>
                <w:tab w:val="num" w:pos="334" w:leader="none"/>
                <w:tab w:val="clear" w:pos="1277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иметь за последние 3 (три) года до даты публикации извещения о проведении закупки не менее 1 (одного) исполненного договора </w:t>
            </w:r>
            <w:r>
              <w:rPr>
                <w:sz w:val="20"/>
                <w:szCs w:val="20"/>
                <w:highlight w:val="white"/>
              </w:rPr>
              <w:t xml:space="preserve">на выполнение работ по созданию и/или внедрению и/или доработке и/или ра</w:t>
            </w:r>
            <w:r>
              <w:rPr>
                <w:sz w:val="20"/>
                <w:szCs w:val="20"/>
                <w:highlight w:val="white"/>
              </w:rPr>
              <w:t xml:space="preserve">звитию и/или модернизации автоматизированной системы управления персоналом (включая процесс расчета заработной платы) для нужд компании, являющейся субъектом критической информационной инфраструктуры, с ценой такого договора не менее </w:t>
            </w:r>
            <w:r>
              <w:rPr>
                <w:sz w:val="20"/>
                <w:szCs w:val="20"/>
              </w:rPr>
              <w:t xml:space="preserve">80% от начальной (макс</w:t>
            </w:r>
            <w:r>
              <w:rPr>
                <w:sz w:val="20"/>
                <w:szCs w:val="20"/>
              </w:rPr>
              <w:t xml:space="preserve">имальной) цены договора, установленного в п.5 части II «ИНФОРМАЦИОННАЯ КАРТА ЗАКУПКИ».</w:t>
            </w:r>
            <w:r>
              <w:rPr>
                <w:sz w:val="20"/>
                <w:szCs w:val="20"/>
              </w:rPr>
            </w:r>
          </w:p>
          <w:p>
            <w:pPr>
              <w:ind w:left="334"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Подтверждением указанного опыта исполнения контракта (договора) участником, для целей настоящей закупки, является: копия контракта (договора) (включая приложения) копии </w:t>
            </w:r>
            <w:r>
              <w:rPr>
                <w:sz w:val="20"/>
                <w:szCs w:val="20"/>
              </w:rPr>
              <w:t xml:space="preserve">актов приёмки выполненных работ на всю сумму договора с обязательным указанием сумм в договорах и актах, при этом дата подписания последнего акта приёмки выполненных работ не должна быть ранее 3-х лет до даты публикации извещения о проведении настоящей зак</w:t>
            </w:r>
            <w:r>
              <w:rPr>
                <w:sz w:val="20"/>
                <w:szCs w:val="20"/>
              </w:rPr>
              <w:t xml:space="preserve">упки.</w:t>
            </w:r>
            <w:r>
              <w:rPr>
                <w:sz w:val="20"/>
                <w:szCs w:val="20"/>
              </w:rPr>
            </w:r>
          </w:p>
          <w:p>
            <w:pPr>
              <w:ind w:left="3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Допускается скрыть конфиденциальную информацию, которая не имеет отношения к закупке и не влияет на расчет по критериям оценки.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1.4, 3.4.1, 3.4.2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Документы и сведения, входящие в состав заявки на участие в закупке для подтверждения соответствия требовани</w:t>
            </w:r>
            <w:r>
              <w:rPr>
                <w:sz w:val="18"/>
                <w:szCs w:val="18"/>
              </w:rPr>
              <w:t xml:space="preserve">ям, установленным в пункте 9 части </w:t>
            </w:r>
            <w:r>
              <w:rPr>
                <w:sz w:val="18"/>
                <w:szCs w:val="18"/>
                <w:lang w:val="en-US"/>
              </w:rPr>
              <w:t xml:space="preserve">II</w:t>
            </w:r>
            <w:r>
              <w:rPr>
                <w:sz w:val="18"/>
                <w:szCs w:val="18"/>
              </w:rPr>
              <w:t xml:space="preserve"> «ИНФОРМАЦИОННАЯ КАРТА ЗАКУПКИ»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Документы и сведения, входящие в состав заявки на участие в закупке установлены в Приложении № 2 к части II «ИНФОРМАЦИОННАЯ КАРТА ЗАКУПКИ» </w:t>
            </w:r>
            <w:r>
              <w:rPr>
                <w:sz w:val="20"/>
                <w:szCs w:val="20"/>
              </w:rPr>
            </w:r>
          </w:p>
          <w:p>
            <w:pPr>
              <w:pStyle w:val="1523"/>
              <w:jc w:val="both"/>
              <w:keepLines/>
              <w:spacing w:after="120"/>
              <w:widowControl w:val="of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ind w:left="0"/>
              <w:jc w:val="left"/>
              <w:keepLines/>
              <w:keepNext w:val="0"/>
              <w:spacing w:before="0" w:after="0"/>
              <w:widowControl w:val="off"/>
              <w:tabs>
                <w:tab w:val="left" w:pos="284" w:leader="none"/>
                <w:tab w:val="clear" w:pos="312" w:leader="none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10.1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Документы, входящие в состав пакета документов в бумажной форме,  подтверждающих сведения содержащихся в заявке участника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 Независимой гарантии (оригинал независимой гарантии на бумажном носителе предоставляется в случае, если Участник в качестве ф</w:t>
            </w:r>
            <w:r>
              <w:rPr>
                <w:sz w:val="20"/>
                <w:szCs w:val="20"/>
              </w:rPr>
              <w:t xml:space="preserve">инансового обеспечения участия в закупке выбрал независимую гарантию на бумажном носителе). 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Документы, указанные в п.п. е) п. 1 приложения 2 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ЗАКУПКИ», прилагаемые к независимой гарантии, предоставляются Участником на бумажно</w:t>
            </w:r>
            <w:r>
              <w:rPr>
                <w:sz w:val="20"/>
                <w:szCs w:val="20"/>
              </w:rPr>
              <w:t xml:space="preserve">м носителе, если он выбрал такую форму предоставления документов.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Требование об отсутствии сведений об участнике закупки в реестре недобросовестных поставщиков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bCs/>
                <w:color w:val="000000"/>
                <w:sz w:val="20"/>
                <w:szCs w:val="20"/>
              </w:rPr>
            </w:pPr>
            <w:r/>
            <w:bookmarkStart w:id="274" w:name="_Ref303614990"/>
            <w:r/>
            <w:bookmarkStart w:id="275" w:name="_Ref303599756"/>
            <w:r>
              <w:rPr>
                <w:bCs/>
                <w:color w:val="000000"/>
                <w:sz w:val="20"/>
                <w:szCs w:val="20"/>
              </w:rPr>
              <w:t xml:space="preserve">Участник закупки не должен быть включенным в реестры недобросовестных поставщиков в соответствии с положениями Федерального закона от 5 апреля 2013 года №44-ФЗ «О</w:t>
            </w:r>
            <w:r>
              <w:rPr>
                <w:bCs/>
                <w:color w:val="000000"/>
                <w:sz w:val="20"/>
                <w:szCs w:val="20"/>
              </w:rPr>
              <w:t xml:space="preserve"> контрактной системе в сфере закупок товаров, работ, услуг для обеспечения государственных и муниципальных нужд» и Федерального закона от 18.07.2011 № 223-ФЗ «О закупках товаров, работ, услуг отдельными видами юридических лиц»</w:t>
            </w:r>
            <w:bookmarkEnd w:id="274"/>
            <w:r/>
            <w:bookmarkEnd w:id="275"/>
            <w:r>
              <w:rPr>
                <w:sz w:val="20"/>
                <w:szCs w:val="20"/>
              </w:rPr>
              <w:t xml:space="preserve">.</w:t>
            </w:r>
            <w:r>
              <w:rPr>
                <w:bCs/>
                <w:color w:val="000000"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1.4, 3.4.1, 3.4.2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</w:t>
            </w:r>
            <w:r>
              <w:rPr>
                <w:sz w:val="18"/>
                <w:szCs w:val="18"/>
              </w:rPr>
              <w:t xml:space="preserve">ы и сведения, входящие в состав заявки на участие в закупке для подтверждения соответствия требованию, установленному в пункте 11  части </w:t>
            </w:r>
            <w:r>
              <w:rPr>
                <w:sz w:val="18"/>
                <w:szCs w:val="18"/>
                <w:lang w:val="en-US"/>
              </w:rPr>
              <w:t xml:space="preserve">II</w:t>
            </w:r>
            <w:r>
              <w:rPr>
                <w:sz w:val="18"/>
                <w:szCs w:val="18"/>
              </w:rPr>
              <w:t xml:space="preserve"> «ИНФОРМАЦИОННАЯ КАРТА ЗАКУПКИ»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495"/>
              <w:ind w:left="0"/>
              <w:jc w:val="both"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требуются</w:t>
            </w:r>
            <w:r>
              <w:rPr>
                <w:sz w:val="20"/>
                <w:szCs w:val="20"/>
              </w:rPr>
            </w:r>
          </w:p>
          <w:p>
            <w:pPr>
              <w:pStyle w:val="1495"/>
              <w:ind w:left="0"/>
              <w:jc w:val="both"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Проверка соответствия установленному требованию осуществляется на основании открытых данных соответствующих реестров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276" w:name="_Ref166311076"/>
            <w:r/>
            <w:bookmarkEnd w:id="276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1.4.7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spacing w:after="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Требования </w:t>
            </w:r>
            <w:r>
              <w:rPr>
                <w:sz w:val="16"/>
                <w:szCs w:val="16"/>
              </w:rPr>
              <w:t xml:space="preserve">привлекаемым субподрядчикам, соисполнителям и (или) изготовителям товара, являющегося предметом закупки (в случае закупки работ по проектированию, строительству, модернизации и ремонту особо опасных, технически сложных объектов капитального строительства).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jc w:val="left"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установлены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277" w:name="_Ref166311380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3.4.1, 3.4.2</w:t>
            </w:r>
            <w:bookmarkEnd w:id="277"/>
            <w:r/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Документы и сведения, входящие в состав заявки на участие в закупке для подтверждения соответствия требованиям, установленным в пункте 13  части </w:t>
            </w:r>
            <w:r>
              <w:rPr>
                <w:sz w:val="16"/>
                <w:szCs w:val="16"/>
                <w:lang w:val="en-US"/>
              </w:rPr>
              <w:t xml:space="preserve">II</w:t>
            </w:r>
            <w:r>
              <w:rPr>
                <w:sz w:val="16"/>
                <w:szCs w:val="16"/>
              </w:rPr>
              <w:t xml:space="preserve"> «ИНФОРМАЦИОННАЯ КАРТА ЗАКУПКИ»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требуются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и время окончания срока предоставления участникам за</w:t>
            </w:r>
            <w:r>
              <w:rPr>
                <w:sz w:val="18"/>
                <w:szCs w:val="18"/>
              </w:rPr>
              <w:t xml:space="preserve">купки разъяснений положений документации о закупке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п. 2.2.2 части I «ОБЩИЕ УСЛОВИЯ ПРОВЕДЕНИЯ ЗАКУПКИ» настоящей документации о закупке.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pStyle w:val="1522"/>
              <w:numPr>
                <w:ilvl w:val="0"/>
                <w:numId w:val="0"/>
              </w:numPr>
              <w:keepLines/>
              <w:widowControl w:val="off"/>
              <w:tabs>
                <w:tab w:val="left" w:pos="708" w:leader="none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Обеспечение заявок на участие в закупке</w:t>
            </w:r>
            <w:r>
              <w:rPr>
                <w:sz w:val="18"/>
                <w:szCs w:val="18"/>
              </w:rPr>
            </w:r>
          </w:p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Размер обеспечения заявок на участие в закупке, срок и порядок внесения денежных средств в качестве обеспечения такой заявки, условия независимой гарантии, порядок возврата обеспечения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заявок на участие в закупке предусмотрено в размере 2% от н</w:t>
            </w:r>
            <w:r>
              <w:rPr>
                <w:sz w:val="20"/>
                <w:szCs w:val="20"/>
              </w:rPr>
              <w:t xml:space="preserve">ачальной (максимальной) цены договора с НДС.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предоставления обеспечения заявки на участие в закупке: не позднее даты и времени окончания срока подачи заявок на участие в закупке, установленные в п. 8 части </w:t>
            </w:r>
            <w:r>
              <w:rPr>
                <w:sz w:val="20"/>
                <w:szCs w:val="20"/>
                <w:lang w:val="en-US"/>
              </w:rPr>
              <w:t xml:space="preserve">II</w:t>
            </w:r>
            <w:r>
              <w:rPr>
                <w:sz w:val="20"/>
                <w:szCs w:val="20"/>
              </w:rPr>
              <w:t xml:space="preserve"> «ИНФОРМАЦИОННАЯ КАРТА ЗАКУПКИ».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Победителю</w:t>
            </w:r>
            <w:r>
              <w:rPr>
                <w:sz w:val="20"/>
                <w:szCs w:val="20"/>
              </w:rPr>
              <w:t xml:space="preserve"> закупки независимую гарантию возвращают по письменному запросу после предоставления финансового обеспечения на исполнение обязательств по договору и подписания договора. Остальным Участникам закупки независимая гарантия возвращается после размещения Итого</w:t>
            </w:r>
            <w:r>
              <w:rPr>
                <w:sz w:val="20"/>
                <w:szCs w:val="20"/>
              </w:rPr>
              <w:t xml:space="preserve">вого протокола в ЕИС по их письменным запросам в 3-х дневный срок.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Обеспечительный платеж возвращается Оператором ЭП в порядке, установленном регламентом работы ЭП для корпоративных закупок.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Порядок внесения денежных средств и </w:t>
            </w:r>
            <w:r>
              <w:rPr>
                <w:sz w:val="20"/>
                <w:szCs w:val="20"/>
              </w:rPr>
              <w:t xml:space="preserve">условия независимой гарантии,</w:t>
            </w:r>
            <w:r>
              <w:rPr>
                <w:sz w:val="20"/>
                <w:szCs w:val="20"/>
              </w:rPr>
              <w:t xml:space="preserve"> а также срок и случаи возврата обеспечения заявок установлены в разделе 3 части I «ОБЩИЕ УСЛОВИЯ ПРОВЕДЕНИЯ ЗАКУПКИ».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Счет Заказчика для перечисления денежных средств, внесенных в качестве обеспечения заявки, в случаях, установленных п. 3.6.5 документации о закупке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ind w:right="-109"/>
              <w:spacing w:after="120"/>
              <w:widowControl w:val="off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НЕ ДЛЯ ПЕРЕЧИСЛЕНИЯ ОБЕСПЕЧИТЕЛЬНОГО ПЛАТЕЖА</w:t>
            </w:r>
            <w:r>
              <w:rPr>
                <w:b/>
                <w:color w:val="ff0000"/>
                <w:sz w:val="20"/>
                <w:szCs w:val="20"/>
              </w:rPr>
              <w:t xml:space="preserve">.</w:t>
            </w:r>
            <w:r>
              <w:rPr>
                <w:b/>
                <w:color w:val="ff0000"/>
                <w:sz w:val="20"/>
                <w:szCs w:val="20"/>
              </w:rPr>
            </w:r>
          </w:p>
          <w:p>
            <w:pPr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счета: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widowControl w:val="off"/>
              <w:tabs>
                <w:tab w:val="num" w:pos="1560" w:leader="none"/>
              </w:tabs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Получатель: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</w:r>
          </w:p>
          <w:p>
            <w:pPr>
              <w:jc w:val="left"/>
              <w:spacing w:after="0"/>
              <w:widowControl w:val="off"/>
              <w:rPr>
                <w:b/>
                <w:sz w:val="20"/>
                <w:szCs w:val="20"/>
              </w:rPr>
            </w:pPr>
            <w:r/>
            <w:bookmarkStart w:id="278" w:name="_Toc124509539"/>
            <w:r/>
            <w:bookmarkStart w:id="279" w:name="_Toc124511185"/>
            <w:r/>
            <w:bookmarkStart w:id="280" w:name="_Toc124511241"/>
            <w:r/>
            <w:bookmarkStart w:id="281" w:name="_Toc124760988"/>
            <w:r>
              <w:rPr>
                <w:b/>
                <w:sz w:val="20"/>
                <w:szCs w:val="20"/>
              </w:rPr>
              <w:t xml:space="preserve">Публичное акционерное общество «Федеральная сетевая компания – Россети»</w:t>
            </w:r>
            <w:bookmarkEnd w:id="278"/>
            <w:r/>
            <w:bookmarkEnd w:id="279"/>
            <w:r/>
            <w:bookmarkEnd w:id="280"/>
            <w:r/>
            <w:bookmarkEnd w:id="281"/>
            <w:r/>
            <w:r>
              <w:rPr>
                <w:b/>
                <w:sz w:val="20"/>
                <w:szCs w:val="20"/>
              </w:rPr>
            </w:r>
          </w:p>
          <w:p>
            <w:pPr>
              <w:jc w:val="left"/>
              <w:spacing w:after="0"/>
              <w:widowControl w:val="off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/>
            <w:bookmarkStart w:id="282" w:name="_Toc14342049"/>
            <w:r/>
            <w:bookmarkStart w:id="283" w:name="_Toc23337125"/>
            <w:r/>
            <w:bookmarkStart w:id="284" w:name="_Toc25241661"/>
            <w:r/>
            <w:bookmarkStart w:id="285" w:name="_Toc32831592"/>
            <w:r/>
            <w:bookmarkStart w:id="286" w:name="_Toc37947012"/>
            <w:r/>
            <w:bookmarkStart w:id="287" w:name="_Toc38537016"/>
            <w:r/>
            <w:bookmarkStart w:id="288" w:name="_Toc38619025"/>
            <w:r/>
            <w:bookmarkStart w:id="289" w:name="_Toc41380432"/>
            <w:r/>
            <w:bookmarkStart w:id="290" w:name="_Toc46752282"/>
            <w:r/>
            <w:bookmarkStart w:id="291" w:name="_Toc50372029"/>
            <w:r/>
            <w:bookmarkStart w:id="292" w:name="_Toc54945494"/>
            <w:r/>
            <w:bookmarkStart w:id="293" w:name="_Toc64630214"/>
            <w:r/>
            <w:bookmarkStart w:id="294" w:name="_Toc73626015"/>
            <w:r/>
            <w:bookmarkStart w:id="295" w:name="_Toc81215707"/>
            <w:r/>
            <w:bookmarkStart w:id="296" w:name="_Toc95819576"/>
            <w:r/>
            <w:bookmarkStart w:id="297" w:name="_Toc96085496"/>
            <w:r/>
            <w:bookmarkStart w:id="298" w:name="_Toc98840808"/>
            <w:r/>
            <w:bookmarkStart w:id="299" w:name="_Toc98932795"/>
            <w:r/>
            <w:bookmarkStart w:id="300" w:name="_Toc99019912"/>
            <w:r/>
            <w:bookmarkStart w:id="301" w:name="_Toc103783727"/>
            <w:r/>
            <w:bookmarkStart w:id="302" w:name="_Toc110849855"/>
            <w:r/>
            <w:bookmarkStart w:id="303" w:name="_Toc113373625"/>
            <w:r/>
            <w:bookmarkStart w:id="304" w:name="_Toc115858701"/>
            <w:r/>
            <w:bookmarkStart w:id="305" w:name="_Toc116292429"/>
            <w:r/>
            <w:bookmarkStart w:id="306" w:name="_Toc116293722"/>
            <w:r/>
            <w:bookmarkStart w:id="307" w:name="_Toc116296616"/>
            <w:r/>
            <w:bookmarkStart w:id="308" w:name="_Toc124509540"/>
            <w:r/>
            <w:bookmarkStart w:id="309" w:name="_Toc124511186"/>
            <w:r/>
            <w:bookmarkStart w:id="310" w:name="_Toc124511242"/>
            <w:r/>
            <w:bookmarkStart w:id="311" w:name="_Toc124760989"/>
            <w:r>
              <w:rPr>
                <w:sz w:val="20"/>
                <w:szCs w:val="20"/>
              </w:rPr>
              <w:t xml:space="preserve">ИНН 4716016979</w:t>
            </w:r>
            <w:bookmarkEnd w:id="282"/>
            <w:r/>
            <w:bookmarkEnd w:id="283"/>
            <w:r/>
            <w:bookmarkEnd w:id="284"/>
            <w:r/>
            <w:bookmarkEnd w:id="285"/>
            <w:r/>
            <w:bookmarkEnd w:id="286"/>
            <w:r/>
            <w:bookmarkEnd w:id="287"/>
            <w:r/>
            <w:bookmarkEnd w:id="288"/>
            <w:r/>
            <w:bookmarkEnd w:id="289"/>
            <w:r/>
            <w:bookmarkEnd w:id="290"/>
            <w:r/>
            <w:bookmarkEnd w:id="291"/>
            <w:r/>
            <w:bookmarkEnd w:id="292"/>
            <w:r/>
            <w:bookmarkEnd w:id="293"/>
            <w:r/>
            <w:bookmarkEnd w:id="294"/>
            <w:r/>
            <w:bookmarkEnd w:id="295"/>
            <w:r/>
            <w:bookmarkEnd w:id="296"/>
            <w:r/>
            <w:bookmarkEnd w:id="297"/>
            <w:r/>
            <w:bookmarkEnd w:id="298"/>
            <w:r/>
            <w:bookmarkEnd w:id="299"/>
            <w:r/>
            <w:bookmarkEnd w:id="300"/>
            <w:r/>
            <w:bookmarkEnd w:id="301"/>
            <w:r/>
            <w:bookmarkEnd w:id="302"/>
            <w:r/>
            <w:bookmarkEnd w:id="303"/>
            <w:r/>
            <w:bookmarkEnd w:id="304"/>
            <w:r/>
            <w:bookmarkEnd w:id="305"/>
            <w:r/>
            <w:bookmarkEnd w:id="306"/>
            <w:r/>
            <w:bookmarkEnd w:id="307"/>
            <w:r/>
            <w:bookmarkEnd w:id="308"/>
            <w:r/>
            <w:bookmarkEnd w:id="309"/>
            <w:r/>
            <w:bookmarkEnd w:id="310"/>
            <w:r/>
            <w:bookmarkEnd w:id="311"/>
            <w:r/>
            <w:r>
              <w:rPr>
                <w:sz w:val="20"/>
                <w:szCs w:val="20"/>
              </w:rPr>
            </w:r>
          </w:p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р/сч №40702810038120108301</w:t>
            </w:r>
            <w:r>
              <w:rPr>
                <w:sz w:val="20"/>
                <w:szCs w:val="20"/>
              </w:rPr>
            </w:r>
          </w:p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Московский банк ПАО Сбербанк, г. Москва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044525225 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к/сч 30101810400000000225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pacing w:after="1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 УКАЗАННЫЙ СЧЕТ ДЕНЕЖНЫЕ СРЕДСТВА ПЕРЕЧИСЛЯЮТСЯ В СЛУЧАЯХ</w:t>
            </w:r>
            <w:r>
              <w:rPr>
                <w:sz w:val="16"/>
                <w:szCs w:val="16"/>
              </w:rPr>
              <w:t xml:space="preserve"> УКЛОНЕНИЯ ИЛИ ОТКАЗА УЧАСТНИКА, ПРИЗНАННОГО ПОБЕДИТЕЛЯМ (ИЛИ ЕДИНСТВЕННОГО УЧАСТНИКА ЗАКУПКИ, С КОТОРЫМ ПРИНЯТО РЕШЕНИЕ О ЗАКЛЮЧЕНИИ ДОГОВОРА) ОТ ЗАКЛЮЧЕНИЯ ДОГОВОРА</w:t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jc w:val="center"/>
          <w:trHeight w:val="5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312" w:name="_Ref166312503"/>
            <w:r/>
            <w:bookmarkStart w:id="313" w:name="_Ref166381471"/>
            <w:r/>
            <w:bookmarkEnd w:id="312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6.2, 6.3</w:t>
            </w:r>
            <w:bookmarkEnd w:id="313"/>
            <w:r>
              <w:rPr>
                <w:sz w:val="20"/>
                <w:szCs w:val="20"/>
              </w:rPr>
              <w:t xml:space="preserve">, 6.4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tabs>
                <w:tab w:val="left" w:pos="708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исполнения договора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Размер обеспечения исполнения договора в закупке, срок и порядок внесения денежных средств в качестве такого обеспечения, условия независимой гарантии.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spacing w:after="120"/>
              <w:tabs>
                <w:tab w:val="left" w:pos="1276" w:leader="none"/>
                <w:tab w:val="left" w:pos="1560" w:leader="none"/>
                <w:tab w:val="left" w:pos="9639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Подробные условия обеспечения исполнения обязательств по Договору указаны в разделе 14</w:t>
            </w:r>
            <w:r>
              <w:rPr>
                <w:sz w:val="20"/>
                <w:szCs w:val="20"/>
              </w:rPr>
              <w:t xml:space="preserve"> части </w:t>
            </w:r>
            <w:r>
              <w:rPr>
                <w:sz w:val="20"/>
                <w:szCs w:val="20"/>
                <w:lang w:val="en-US"/>
              </w:rPr>
              <w:t xml:space="preserve">IV</w:t>
            </w:r>
            <w:r>
              <w:rPr>
                <w:sz w:val="20"/>
                <w:szCs w:val="20"/>
              </w:rPr>
              <w:t xml:space="preserve"> «Проект </w:t>
            </w:r>
            <w:r>
              <w:rPr>
                <w:sz w:val="20"/>
                <w:szCs w:val="20"/>
              </w:rPr>
              <w:t xml:space="preserve">договора» настоящей документации о закупке.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</w:r>
          </w:p>
          <w:p>
            <w:pPr>
              <w:spacing w:after="120"/>
              <w:tabs>
                <w:tab w:val="left" w:pos="1276" w:leader="none"/>
                <w:tab w:val="left" w:pos="1560" w:leader="none"/>
                <w:tab w:val="left" w:pos="9639" w:leader="none"/>
              </w:tabs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Выбор способа обеспечения исполнения Подрядчиком обязательств по Договору осуществляется Победителем самостоятельно</w:t>
            </w:r>
            <w:r>
              <w:rPr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случае, если при проведении закупки победителем (либо единственным участником, признанным соответствующим требованиям извещения и/или документации о закупке) признается участник, предложивший аномально низкое ценовое предложение, таким участником предост</w:t>
            </w:r>
            <w:r>
              <w:rPr>
                <w:sz w:val="20"/>
                <w:szCs w:val="20"/>
              </w:rPr>
              <w:t xml:space="preserve">авляется обеспечение исполнения договора в размере, указанном в п. 6.4.2. Части </w:t>
            </w:r>
            <w:r>
              <w:rPr>
                <w:sz w:val="20"/>
                <w:szCs w:val="20"/>
                <w:lang w:val="en-US"/>
              </w:rPr>
              <w:t xml:space="preserve">I</w:t>
            </w:r>
            <w:r>
              <w:rPr>
                <w:sz w:val="20"/>
                <w:szCs w:val="20"/>
              </w:rPr>
              <w:t xml:space="preserve"> «ОБЩИЕ УСЛОВИЯ ПРОВЕДЕНИЯ ЗАКУПКИ» настоящей документации о закупке.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  <w:trHeight w:val="186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314" w:name="_Ref166313061"/>
            <w:r/>
            <w:bookmarkStart w:id="315" w:name="_Ref354440864"/>
            <w:r/>
            <w:bookmarkEnd w:id="314"/>
            <w:r/>
            <w:bookmarkEnd w:id="315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6.2.2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Реквизиты счета для внесения обеспечения исполнения договора (в случае если участник закупки выбрал обеспечение исполнения договора в виде обеспечительного платежа)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Next/>
              <w:spacing w:after="120"/>
              <w:widowControl w:val="off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Реквизиты счета для внесения обеспечения исполнения договора предоставляются Заказчиком в м</w:t>
            </w:r>
            <w:r>
              <w:rPr>
                <w:sz w:val="20"/>
                <w:szCs w:val="20"/>
              </w:rPr>
              <w:t xml:space="preserve">омент направления проекта договора для подписания Участником, признанным Победителем.</w:t>
            </w:r>
            <w:r>
              <w:rPr>
                <w:i/>
                <w:sz w:val="20"/>
                <w:szCs w:val="20"/>
              </w:rPr>
            </w:r>
          </w:p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  <w:trHeight w:val="10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316" w:name="_Ref166313235"/>
            <w:r/>
            <w:bookmarkStart w:id="317" w:name="_Ref354428632"/>
            <w:r/>
            <w:bookmarkEnd w:id="316"/>
            <w:r/>
            <w:bookmarkEnd w:id="317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tabs>
                <w:tab w:val="num" w:pos="312" w:leader="none"/>
              </w:tabs>
              <w:rPr>
                <w:sz w:val="20"/>
                <w:szCs w:val="20"/>
              </w:rPr>
              <w:outlineLvl w:val="2"/>
            </w:pPr>
            <w:r>
              <w:rPr>
                <w:sz w:val="20"/>
                <w:szCs w:val="20"/>
              </w:rPr>
              <w:t xml:space="preserve">5.5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Критерии и порядок оценки и сопоставления заявок на участие в закупке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Критерии оценки и сопоставления заявок на участие в закупке, величины их значимости и порядок оценки и сопоставления заявок на участие в закупке определены в приложении № 1 к части II «ИНФОРМАЦИОННАЯ КАРТА ЗАКУПКИ»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318" w:name="_Ref166315600"/>
            <w:r/>
            <w:bookmarkStart w:id="319" w:name="_Ref354134594"/>
            <w:r/>
            <w:bookmarkEnd w:id="318"/>
            <w:r/>
            <w:bookmarkEnd w:id="319"/>
            <w:r/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6.1.2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Право заказчика заключить договор с несколькими участниками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предусмотрено</w:t>
            </w:r>
            <w:r>
              <w:rPr>
                <w:i/>
                <w:sz w:val="20"/>
                <w:szCs w:val="20"/>
              </w:rPr>
            </w:r>
          </w:p>
          <w:p>
            <w:pPr>
              <w:pStyle w:val="1495"/>
              <w:ind w:left="0"/>
              <w:jc w:val="both"/>
              <w:keepLines/>
              <w:spacing w:after="12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Lines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keepLines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6.6.5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keepLines/>
              <w:spacing w:after="0"/>
              <w:widowControl w:val="off"/>
              <w:rPr>
                <w:sz w:val="18"/>
                <w:szCs w:val="18"/>
              </w:rPr>
            </w:pPr>
            <w:r/>
            <w:bookmarkStart w:id="320" w:name="_Toc354408457"/>
            <w:r>
              <w:rPr>
                <w:sz w:val="18"/>
                <w:szCs w:val="18"/>
              </w:rPr>
              <w:t xml:space="preserve">Сведения о возможности одностороннего отказа от исполнения обязательств, предусмотренных договором</w:t>
            </w:r>
            <w:bookmarkEnd w:id="320"/>
            <w:r/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keepLines/>
              <w:spacing w:after="120"/>
              <w:widowControl w:val="off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Односторонний отказ от исполнения договора возможен в порядке, установленном в проекте договора</w:t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pStyle w:val="1511"/>
              <w:widowControl w:val="off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 xml:space="preserve">Требования о запрете, ограничении закупок товаров, происходящих из иностранных государств, работ, услуг и преимущество в отношении товаров российского происхождения в соответствии с Постановлением Правительства РФ от 23.12.2024 № 1875 «О мерах по предостав</w:t>
            </w:r>
            <w:r>
              <w:rPr>
                <w:color w:val="auto"/>
                <w:sz w:val="18"/>
                <w:szCs w:val="18"/>
                <w:lang w:eastAsia="ru-RU"/>
              </w:rPr>
              <w:t xml:space="preserve">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511"/>
              <w:jc w:val="both"/>
              <w:spacing w:after="120"/>
              <w:widowControl w:val="off"/>
              <w:rPr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 xml:space="preserve">Не установлено</w:t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75" w:type="dxa"/>
            <w:textDirection w:val="lrTb"/>
            <w:noWrap w:val="false"/>
          </w:tcPr>
          <w:p>
            <w:pPr>
              <w:pStyle w:val="1116"/>
              <w:numPr>
                <w:ilvl w:val="0"/>
                <w:numId w:val="8"/>
              </w:numPr>
              <w:ind w:left="0" w:firstLine="0"/>
              <w:keepNext w:val="0"/>
              <w:spacing w:before="0" w:after="0"/>
              <w:widowControl w:val="off"/>
              <w:tabs>
                <w:tab w:val="left" w:pos="284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jc w:val="left"/>
              <w:spacing w:after="0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1.7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425" w:type="dxa"/>
            <w:textDirection w:val="lrTb"/>
            <w:noWrap w:val="false"/>
          </w:tcPr>
          <w:p>
            <w:pPr>
              <w:pStyle w:val="1511"/>
              <w:widowControl w:val="off"/>
              <w:rPr>
                <w:color w:val="auto"/>
                <w:sz w:val="18"/>
                <w:szCs w:val="18"/>
                <w:highlight w:val="white"/>
              </w:rPr>
            </w:pPr>
            <w:r>
              <w:rPr>
                <w:color w:val="auto"/>
                <w:sz w:val="18"/>
                <w:szCs w:val="18"/>
              </w:rPr>
              <w:t xml:space="preserve">Требования к информации и документам, под</w:t>
            </w:r>
            <w:r>
              <w:rPr>
                <w:color w:val="auto"/>
                <w:sz w:val="18"/>
                <w:szCs w:val="18"/>
              </w:rPr>
              <w:t xml:space="preserve">тверждающим страну происхождения товара для целей применения запретов и ограничений </w:t>
            </w:r>
            <w:r>
              <w:rPr>
                <w:color w:val="auto"/>
                <w:sz w:val="18"/>
                <w:szCs w:val="18"/>
                <w:highlight w:val="white"/>
              </w:rPr>
            </w:r>
          </w:p>
          <w:p>
            <w:pPr>
              <w:pStyle w:val="1511"/>
              <w:widowControl w:val="off"/>
              <w:rPr>
                <w:color w:val="auto"/>
                <w:sz w:val="18"/>
                <w:szCs w:val="18"/>
                <w:highlight w:val="white"/>
              </w:rPr>
            </w:pPr>
            <w:r>
              <w:rPr>
                <w:color w:val="auto"/>
                <w:sz w:val="18"/>
                <w:szCs w:val="18"/>
                <w:highlight w:val="white"/>
              </w:rPr>
            </w:r>
            <w:r>
              <w:rPr>
                <w:color w:val="auto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96" w:type="dxa"/>
            <w:textDirection w:val="lrTb"/>
            <w:noWrap w:val="false"/>
          </w:tcPr>
          <w:p>
            <w:pPr>
              <w:pStyle w:val="1511"/>
              <w:jc w:val="both"/>
              <w:spacing w:after="120"/>
              <w:widowControl w:val="off"/>
              <w:rPr>
                <w:color w:val="auto"/>
                <w:sz w:val="18"/>
                <w:szCs w:val="18"/>
                <w:lang w:eastAsia="ru-RU"/>
              </w:rPr>
            </w:pPr>
            <w:r>
              <w:rPr>
                <w:color w:val="auto"/>
                <w:sz w:val="18"/>
                <w:szCs w:val="18"/>
                <w:lang w:eastAsia="ru-RU"/>
              </w:rPr>
              <w:t xml:space="preserve">Не требуется</w:t>
            </w:r>
            <w:r>
              <w:rPr>
                <w:color w:val="auto"/>
                <w:sz w:val="18"/>
                <w:szCs w:val="18"/>
                <w:lang w:eastAsia="ru-RU"/>
              </w:rPr>
            </w:r>
          </w:p>
        </w:tc>
      </w:tr>
    </w:tbl>
    <w:p>
      <w:pPr>
        <w:ind w:firstLine="567"/>
        <w:jc w:val="right"/>
        <w:spacing w:after="0"/>
        <w:rPr>
          <w:b/>
          <w:bCs/>
        </w:rPr>
        <w:sectPr>
          <w:footnotePr/>
          <w:endnotePr/>
          <w:type w:val="continuous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b/>
          <w:bCs/>
        </w:rPr>
      </w:r>
      <w:r>
        <w:rPr>
          <w:b/>
          <w:bCs/>
        </w:rPr>
      </w:r>
    </w:p>
    <w:p>
      <w:pPr>
        <w:pStyle w:val="1115"/>
        <w:jc w:val="right"/>
      </w:pPr>
      <w:r/>
      <w:bookmarkStart w:id="321" w:name="_Toc243045077"/>
      <w:r>
        <w:t xml:space="preserve">Приложение № 1</w:t>
      </w:r>
      <w:bookmarkEnd w:id="321"/>
      <w:r>
        <w:t xml:space="preserve"> </w:t>
      </w:r>
      <w:r/>
    </w:p>
    <w:p>
      <w:pPr>
        <w:jc w:val="right"/>
        <w:rPr>
          <w:b/>
        </w:rPr>
      </w:pPr>
      <w:r>
        <w:rPr>
          <w:b/>
        </w:rPr>
        <w:t xml:space="preserve">к части II «ИНФОРМАЦИОННАЯ КАРТА ЗАКУПКИ» </w:t>
      </w:r>
      <w:r>
        <w:rPr>
          <w:b/>
        </w:rPr>
      </w:r>
    </w:p>
    <w:p>
      <w:pPr>
        <w:pStyle w:val="1495"/>
        <w:numPr>
          <w:ilvl w:val="0"/>
          <w:numId w:val="12"/>
        </w:numPr>
        <w:contextualSpacing/>
        <w:ind w:left="0" w:firstLine="567"/>
        <w:jc w:val="both"/>
        <w:keepLines/>
        <w:spacing w:before="120" w:after="120"/>
      </w:pPr>
      <w:r>
        <w:t xml:space="preserve">Критерии оценки и сопоставления заявок на участие в закупке, величины их значимости и порядок оценки и сопоставления заявок на участие в закупке</w:t>
      </w:r>
      <w:r/>
    </w:p>
    <w:p>
      <w:pPr>
        <w:jc w:val="left"/>
        <w:spacing w:after="0"/>
      </w:pPr>
      <w:r/>
      <w:r/>
    </w:p>
    <w:tbl>
      <w:tblPr>
        <w:tblW w:w="4951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3043"/>
        <w:gridCol w:w="1320"/>
        <w:gridCol w:w="1442"/>
        <w:gridCol w:w="2852"/>
      </w:tblGrid>
      <w:tr>
        <w:tblPrEx/>
        <w:trPr>
          <w:trHeight w:val="36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п/п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6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критериев оценки</w:t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Весовой коэффициент</w:t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Максимальный выставляемый балл</w:t>
            </w: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pct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Порядок оценки по критерию, в том числе с указанием необходимых подтверждающих сведений и документов</w:t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36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</w:t>
            </w:r>
            <w:r>
              <w:rPr>
                <w:bCs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6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Цена заявки (рейтинг по критерию стоимости) (R</w:t>
            </w:r>
            <w:r>
              <w:rPr>
                <w:sz w:val="20"/>
                <w:szCs w:val="20"/>
                <w:vertAlign w:val="subscript"/>
                <w:lang w:val="en-US"/>
              </w:rPr>
              <w:t xml:space="preserve">si</w:t>
            </w:r>
            <w:r>
              <w:rPr>
                <w:sz w:val="20"/>
                <w:szCs w:val="20"/>
              </w:rPr>
              <w:t xml:space="preserve">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 xml:space="preserve">0,</w:t>
            </w:r>
            <w:r>
              <w:rPr>
                <w:bCs/>
                <w:sz w:val="20"/>
                <w:szCs w:val="20"/>
                <w:lang w:val="en-US"/>
              </w:rPr>
              <w:t xml:space="preserve">7 </w:t>
            </w:r>
            <w:r>
              <w:rPr>
                <w:bCs/>
                <w:sz w:val="20"/>
                <w:szCs w:val="20"/>
              </w:rPr>
              <w:t xml:space="preserve">(</w:t>
            </w:r>
            <w:r>
              <w:rPr>
                <w:bCs/>
                <w:sz w:val="20"/>
                <w:szCs w:val="20"/>
                <w:lang w:val="en-US"/>
              </w:rPr>
              <w:t xml:space="preserve">Vs)</w:t>
            </w:r>
            <w:r>
              <w:rPr>
                <w:bCs/>
                <w:sz w:val="20"/>
                <w:szCs w:val="20"/>
                <w:lang w:val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1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pct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Пункт 3 приложения 1 к части II «ИНФОРМАЦИОННАЯ КАРТА ЗАКУ</w:t>
            </w:r>
            <w:r>
              <w:rPr>
                <w:sz w:val="18"/>
                <w:szCs w:val="18"/>
              </w:rPr>
              <w:t xml:space="preserve">ПКИ»</w:t>
            </w:r>
            <w:r>
              <w:rPr>
                <w:b/>
                <w:sz w:val="18"/>
                <w:szCs w:val="18"/>
              </w:rPr>
            </w:r>
          </w:p>
        </w:tc>
      </w:tr>
      <w:tr>
        <w:tblPrEx/>
        <w:trPr>
          <w:trHeight w:val="3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" w:type="pct"/>
            <w:vAlign w:val="center"/>
            <w:textDirection w:val="lrTb"/>
            <w:noWrap w:val="false"/>
          </w:tcPr>
          <w:p>
            <w:pPr>
              <w:pStyle w:val="1469"/>
              <w:ind w:firstLine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6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Опыт выполнения договоров (R</w:t>
            </w:r>
            <w:r>
              <w:rPr>
                <w:rFonts w:eastAsia="Calibri"/>
                <w:sz w:val="20"/>
                <w:szCs w:val="20"/>
                <w:vertAlign w:val="subscript"/>
                <w:lang w:eastAsia="en-US"/>
              </w:rPr>
              <w:t xml:space="preserve">oi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)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0,2 (</w:t>
            </w:r>
            <w:r>
              <w:rPr>
                <w:rFonts w:eastAsia="Calibri"/>
                <w:bCs/>
                <w:sz w:val="20"/>
                <w:szCs w:val="20"/>
                <w:lang w:val="en-US" w:eastAsia="en-US"/>
              </w:rPr>
              <w:t xml:space="preserve">V</w:t>
            </w:r>
            <w:r>
              <w:rPr>
                <w:rFonts w:eastAsia="Calibri"/>
                <w:bCs/>
                <w:sz w:val="20"/>
                <w:szCs w:val="20"/>
                <w:vertAlign w:val="subscript"/>
                <w:lang w:val="en-US" w:eastAsia="en-US"/>
              </w:rPr>
              <w:t xml:space="preserve">o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)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1" w:type="pct"/>
            <w:vAlign w:val="center"/>
            <w:textDirection w:val="lrTb"/>
            <w:noWrap w:val="false"/>
          </w:tcPr>
          <w:p>
            <w:pPr>
              <w:pStyle w:val="1469"/>
              <w:ind w:firstLine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pct"/>
            <w:vAlign w:val="center"/>
            <w:textDirection w:val="lrTb"/>
            <w:noWrap w:val="false"/>
          </w:tcPr>
          <w:p>
            <w:pPr>
              <w:ind w:right="-16"/>
              <w:jc w:val="center"/>
              <w:widowControl w:val="off"/>
              <w:rPr>
                <w:rFonts w:eastAsia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Пункт 4 приложения 1 к части II «ИНФОРМАЦИОННАЯ КАРТА ЗАКУПКИ»</w:t>
            </w:r>
            <w:r>
              <w:rPr>
                <w:rFonts w:eastAsia="Calibri"/>
                <w:b/>
                <w:sz w:val="18"/>
                <w:szCs w:val="18"/>
              </w:rPr>
            </w:r>
          </w:p>
        </w:tc>
      </w:tr>
      <w:tr>
        <w:tblPrEx/>
        <w:trPr>
          <w:trHeight w:val="3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6" w:type="pct"/>
            <w:vAlign w:val="center"/>
            <w:textDirection w:val="lrTb"/>
            <w:noWrap w:val="false"/>
          </w:tcPr>
          <w:p>
            <w:pPr>
              <w:pStyle w:val="1469"/>
              <w:ind w:firstLine="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6" w:type="pct"/>
            <w:vAlign w:val="center"/>
            <w:textDirection w:val="lrTb"/>
            <w:noWrap w:val="false"/>
          </w:tcPr>
          <w:p>
            <w:pPr>
              <w:jc w:val="left"/>
              <w:spacing w:after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Квалификация участника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sz w:val="20"/>
                <w:szCs w:val="20"/>
              </w:rPr>
              <w:t xml:space="preserve">(</w:t>
            </w:r>
            <w:r>
              <w:rPr>
                <w:rFonts w:eastAsia="Calibri"/>
                <w:sz w:val="20"/>
                <w:szCs w:val="20"/>
                <w:lang w:val="en-US"/>
              </w:rPr>
              <w:t xml:space="preserve">R</w:t>
            </w:r>
            <w:r>
              <w:rPr>
                <w:rFonts w:eastAsia="Calibri"/>
                <w:sz w:val="20"/>
                <w:szCs w:val="20"/>
                <w:vertAlign w:val="subscript"/>
                <w:lang w:val="en-US"/>
              </w:rPr>
              <w:t xml:space="preserve">ki</w:t>
            </w:r>
            <w:r>
              <w:rPr>
                <w:rFonts w:eastAsia="Calibri"/>
                <w:sz w:val="20"/>
                <w:szCs w:val="20"/>
              </w:rPr>
              <w:t xml:space="preserve">)</w:t>
            </w: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pct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0,1 (</w:t>
            </w:r>
            <w:r>
              <w:rPr>
                <w:rFonts w:eastAsia="Calibri"/>
                <w:bCs/>
                <w:sz w:val="20"/>
                <w:szCs w:val="20"/>
                <w:lang w:val="en-US" w:eastAsia="en-US"/>
              </w:rPr>
              <w:t xml:space="preserve">V</w:t>
            </w:r>
            <w:r>
              <w:rPr>
                <w:rFonts w:eastAsia="Calibri"/>
                <w:bCs/>
                <w:iCs/>
                <w:sz w:val="22"/>
                <w:szCs w:val="22"/>
                <w:vertAlign w:val="subscript"/>
                <w:lang w:val="en-US" w:eastAsia="en-US"/>
              </w:rPr>
              <w:t xml:space="preserve">k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  <w:t xml:space="preserve">)</w:t>
            </w:r>
            <w:r>
              <w:rPr>
                <w:rFonts w:eastAsia="Calibri"/>
                <w:bCs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1" w:type="pct"/>
            <w:vAlign w:val="center"/>
            <w:textDirection w:val="lrTb"/>
            <w:noWrap w:val="false"/>
          </w:tcPr>
          <w:p>
            <w:pPr>
              <w:pStyle w:val="1469"/>
              <w:ind w:firstLine="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43" w:type="pct"/>
            <w:vAlign w:val="center"/>
            <w:textDirection w:val="lrTb"/>
            <w:noWrap w:val="false"/>
          </w:tcPr>
          <w:p>
            <w:pPr>
              <w:ind w:right="-16"/>
              <w:jc w:val="center"/>
              <w:widowControl w:val="off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 xml:space="preserve">Пункт 5 приложения 1 к части II «ИНФОРМАЦИОННАЯ КАРТА ЗАКУПКИ»</w:t>
            </w:r>
            <w:r>
              <w:rPr>
                <w:sz w:val="18"/>
                <w:szCs w:val="18"/>
              </w:rPr>
            </w:r>
          </w:p>
        </w:tc>
      </w:tr>
    </w:tbl>
    <w:p>
      <w:pPr>
        <w:jc w:val="left"/>
        <w:spacing w:after="0"/>
      </w:pPr>
      <w:r/>
      <w:r/>
    </w:p>
    <w:p>
      <w:pPr>
        <w:pStyle w:val="1495"/>
        <w:numPr>
          <w:ilvl w:val="0"/>
          <w:numId w:val="12"/>
        </w:numPr>
        <w:contextualSpacing/>
        <w:ind w:left="0" w:right="159" w:firstLine="709"/>
        <w:jc w:val="both"/>
        <w:spacing w:after="120"/>
        <w:shd w:val="clear" w:color="auto" w:fill="ffffff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Полученные расчетные значения оценки по каждому критерию (ценовому и неценовым), применяются для расчета итоговой оценки предпочтительности заявки участника (итогового рейтинга заявки)</w:t>
      </w:r>
      <w:r>
        <w:rPr>
          <w:rStyle w:val="1382"/>
          <w:rFonts w:eastAsia="Calibri"/>
          <w:lang w:eastAsia="en-US"/>
        </w:rPr>
        <w:footnoteReference w:id="16"/>
      </w:r>
      <w:r>
        <w:rPr>
          <w:rFonts w:eastAsia="Calibri"/>
          <w:lang w:eastAsia="en-US"/>
        </w:rPr>
        <w:t xml:space="preserve">. Дан</w:t>
      </w:r>
      <w:r>
        <w:rPr>
          <w:rFonts w:eastAsia="Calibri"/>
          <w:lang w:eastAsia="en-US"/>
        </w:rPr>
        <w:t xml:space="preserve">ный показатель рассчитывается как сумма полученных балльных оценок с учетом их весовых коэффициентов:</w:t>
      </w:r>
      <w:r>
        <w:rPr>
          <w:rFonts w:eastAsia="Calibri"/>
          <w:lang w:eastAsia="en-US"/>
        </w:rPr>
      </w:r>
    </w:p>
    <w:p>
      <w:pPr>
        <w:ind w:firstLine="851"/>
        <w:jc w:val="center"/>
        <w:spacing w:after="120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bCs/>
          <w:i/>
          <w:sz w:val="22"/>
          <w:szCs w:val="22"/>
          <w:lang w:val="en-US" w:eastAsia="en-US"/>
        </w:rPr>
        <w:t xml:space="preserve">R</w:t>
      </w:r>
      <w:r>
        <w:rPr>
          <w:rFonts w:eastAsia="Calibri"/>
          <w:bCs/>
          <w:i/>
          <w:sz w:val="22"/>
          <w:szCs w:val="22"/>
          <w:vertAlign w:val="subscript"/>
          <w:lang w:val="en-US" w:eastAsia="en-US"/>
        </w:rPr>
        <w:t xml:space="preserve">i</w:t>
      </w:r>
      <w:r>
        <w:rPr>
          <w:rFonts w:eastAsia="Calibri"/>
          <w:bCs/>
          <w:i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eastAsia="en-US"/>
        </w:rPr>
        <w:t xml:space="preserve">= (</w:t>
      </w:r>
      <w:r>
        <w:rPr>
          <w:rFonts w:eastAsia="Calibri"/>
          <w:i/>
          <w:sz w:val="22"/>
          <w:szCs w:val="22"/>
          <w:lang w:val="en-US" w:eastAsia="en-US"/>
        </w:rPr>
        <w:t xml:space="preserve">R</w:t>
      </w:r>
      <w:r>
        <w:rPr>
          <w:rFonts w:eastAsia="Calibri"/>
          <w:i/>
          <w:iCs/>
          <w:sz w:val="22"/>
          <w:szCs w:val="22"/>
          <w:vertAlign w:val="subscript"/>
          <w:lang w:val="en-US" w:eastAsia="en-US"/>
        </w:rPr>
        <w:t xml:space="preserve">si</w:t>
      </w:r>
      <w:r>
        <w:rPr>
          <w:rFonts w:eastAsia="Calibri"/>
          <w:i/>
          <w:sz w:val="22"/>
          <w:szCs w:val="22"/>
          <w:vertAlign w:val="subscript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val="en-US" w:eastAsia="en-US"/>
        </w:rPr>
        <w:t xml:space="preserve">x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val="en-US" w:eastAsia="en-US"/>
        </w:rPr>
        <w:t xml:space="preserve">V</w:t>
      </w:r>
      <w:r>
        <w:rPr>
          <w:rFonts w:eastAsia="Calibri"/>
          <w:i/>
          <w:sz w:val="22"/>
          <w:szCs w:val="22"/>
          <w:vertAlign w:val="subscript"/>
          <w:lang w:val="en-US" w:eastAsia="en-US"/>
        </w:rPr>
        <w:t xml:space="preserve">s</w:t>
      </w:r>
      <w:r>
        <w:rPr>
          <w:rFonts w:eastAsia="Calibri"/>
          <w:i/>
          <w:sz w:val="22"/>
          <w:szCs w:val="22"/>
          <w:lang w:eastAsia="en-US"/>
        </w:rPr>
        <w:t xml:space="preserve">) + (</w:t>
      </w:r>
      <w:r>
        <w:rPr>
          <w:rFonts w:eastAsia="Calibri"/>
          <w:i/>
          <w:sz w:val="22"/>
          <w:szCs w:val="22"/>
          <w:lang w:val="en-US" w:eastAsia="en-US"/>
        </w:rPr>
        <w:t xml:space="preserve">R</w:t>
      </w:r>
      <w:r>
        <w:rPr>
          <w:rFonts w:eastAsia="Calibri"/>
          <w:i/>
          <w:iCs/>
          <w:sz w:val="22"/>
          <w:szCs w:val="22"/>
          <w:vertAlign w:val="subscript"/>
          <w:lang w:val="en-US" w:eastAsia="en-US"/>
        </w:rPr>
        <w:t xml:space="preserve">oi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val="en-US" w:eastAsia="en-US"/>
        </w:rPr>
        <w:t xml:space="preserve">x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val="en-US" w:eastAsia="en-US"/>
        </w:rPr>
        <w:t xml:space="preserve">V</w:t>
      </w:r>
      <w:r>
        <w:rPr>
          <w:rFonts w:eastAsia="Calibri"/>
          <w:i/>
          <w:sz w:val="22"/>
          <w:szCs w:val="22"/>
          <w:vertAlign w:val="subscript"/>
          <w:lang w:val="en-US" w:eastAsia="en-US"/>
        </w:rPr>
        <w:t xml:space="preserve">o</w:t>
      </w:r>
      <w:r>
        <w:rPr>
          <w:rFonts w:eastAsia="Calibri"/>
          <w:i/>
          <w:sz w:val="22"/>
          <w:szCs w:val="22"/>
          <w:lang w:eastAsia="en-US"/>
        </w:rPr>
        <w:t xml:space="preserve">) + (</w:t>
      </w:r>
      <w:r>
        <w:rPr>
          <w:rFonts w:eastAsia="Calibri"/>
          <w:i/>
          <w:sz w:val="22"/>
          <w:szCs w:val="22"/>
          <w:lang w:val="en-US" w:eastAsia="en-US"/>
        </w:rPr>
        <w:t xml:space="preserve">R</w:t>
      </w:r>
      <w:r>
        <w:rPr>
          <w:rFonts w:eastAsia="Calibri"/>
          <w:i/>
          <w:iCs/>
          <w:sz w:val="22"/>
          <w:szCs w:val="22"/>
          <w:vertAlign w:val="subscript"/>
          <w:lang w:val="en-US" w:eastAsia="en-US"/>
        </w:rPr>
        <w:t xml:space="preserve">ki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val="en-US" w:eastAsia="en-US"/>
        </w:rPr>
        <w:t xml:space="preserve">x</w:t>
      </w:r>
      <w:r>
        <w:rPr>
          <w:rFonts w:eastAsia="Calibri"/>
          <w:i/>
          <w:sz w:val="22"/>
          <w:szCs w:val="22"/>
          <w:lang w:eastAsia="en-US"/>
        </w:rPr>
        <w:t xml:space="preserve"> </w:t>
      </w:r>
      <w:r>
        <w:rPr>
          <w:rFonts w:eastAsia="Calibri"/>
          <w:i/>
          <w:sz w:val="22"/>
          <w:szCs w:val="22"/>
          <w:lang w:val="en-US" w:eastAsia="en-US"/>
        </w:rPr>
        <w:t xml:space="preserve">V</w:t>
      </w:r>
      <w:r>
        <w:rPr>
          <w:rFonts w:eastAsia="Calibri"/>
          <w:i/>
          <w:sz w:val="22"/>
          <w:szCs w:val="22"/>
          <w:vertAlign w:val="subscript"/>
          <w:lang w:val="en-US" w:eastAsia="en-US"/>
        </w:rPr>
        <w:t xml:space="preserve">k</w:t>
      </w:r>
      <w:r>
        <w:rPr>
          <w:rFonts w:eastAsia="Calibri"/>
          <w:i/>
          <w:sz w:val="22"/>
          <w:szCs w:val="22"/>
          <w:lang w:eastAsia="en-US"/>
        </w:rPr>
        <w:t xml:space="preserve">), где:</w:t>
      </w:r>
      <w:r>
        <w:rPr>
          <w:rFonts w:eastAsia="Calibri"/>
          <w:i/>
          <w:sz w:val="22"/>
          <w:szCs w:val="22"/>
          <w:lang w:eastAsia="en-US"/>
        </w:rPr>
      </w:r>
    </w:p>
    <w:p>
      <w:pPr>
        <w:ind w:left="1418"/>
        <w:jc w:val="left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bCs/>
          <w:sz w:val="20"/>
          <w:szCs w:val="20"/>
          <w:lang w:eastAsia="en-US"/>
        </w:rPr>
        <w:t xml:space="preserve">Ri  </w:t>
      </w:r>
      <w:r>
        <w:rPr>
          <w:rFonts w:eastAsia="Calibri"/>
          <w:sz w:val="20"/>
          <w:szCs w:val="20"/>
          <w:lang w:eastAsia="en-US"/>
        </w:rPr>
        <w:t xml:space="preserve">  - общий рейтинг предпочтительности i-й заявки;</w:t>
      </w:r>
      <w:r>
        <w:rPr>
          <w:rFonts w:eastAsia="Calibri"/>
          <w:sz w:val="20"/>
          <w:szCs w:val="20"/>
          <w:lang w:eastAsia="en-US"/>
        </w:rPr>
      </w:r>
    </w:p>
    <w:p>
      <w:pPr>
        <w:ind w:left="1418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val="en-US" w:eastAsia="en-US"/>
        </w:rPr>
        <w:t xml:space="preserve">R</w:t>
      </w:r>
      <w:r>
        <w:rPr>
          <w:rFonts w:eastAsia="Calibri"/>
          <w:i/>
          <w:iCs/>
          <w:sz w:val="20"/>
          <w:szCs w:val="20"/>
          <w:vertAlign w:val="subscript"/>
          <w:lang w:val="en-US" w:eastAsia="en-US"/>
        </w:rPr>
        <w:t xml:space="preserve">si</w:t>
      </w:r>
      <w:r>
        <w:rPr>
          <w:rFonts w:eastAsia="Calibri"/>
          <w:sz w:val="20"/>
          <w:szCs w:val="20"/>
          <w:vertAlign w:val="subscript"/>
          <w:lang w:eastAsia="en-US"/>
        </w:rPr>
        <w:t xml:space="preserve"> </w:t>
      </w:r>
      <w:r>
        <w:rPr>
          <w:rFonts w:eastAsia="Calibri"/>
          <w:sz w:val="20"/>
          <w:szCs w:val="20"/>
          <w:lang w:val="en-US" w:eastAsia="en-US"/>
        </w:rPr>
        <w:t xml:space="preserve"> </w:t>
      </w:r>
      <w:r>
        <w:rPr>
          <w:rFonts w:eastAsia="Calibri"/>
          <w:sz w:val="20"/>
          <w:szCs w:val="20"/>
          <w:lang w:eastAsia="en-US"/>
        </w:rPr>
        <w:t xml:space="preserve">-</w:t>
      </w:r>
      <w:r>
        <w:rPr>
          <w:rFonts w:eastAsia="Calibri"/>
          <w:sz w:val="20"/>
          <w:szCs w:val="20"/>
          <w:lang w:eastAsia="en-US"/>
        </w:rPr>
        <w:t xml:space="preserve">  оценка в баллах по ценовому критерию «Цена заявки» (по критерию стоимости);</w:t>
      </w:r>
      <w:r>
        <w:rPr>
          <w:rFonts w:eastAsia="Calibri"/>
          <w:sz w:val="20"/>
          <w:szCs w:val="20"/>
          <w:lang w:eastAsia="en-US"/>
        </w:rPr>
      </w:r>
    </w:p>
    <w:p>
      <w:pPr>
        <w:ind w:left="1418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R</w:t>
      </w:r>
      <w:r>
        <w:rPr>
          <w:rFonts w:eastAsia="Calibri"/>
          <w:sz w:val="20"/>
          <w:szCs w:val="20"/>
          <w:lang w:val="en-US" w:eastAsia="en-US"/>
        </w:rPr>
        <w:t xml:space="preserve">o</w:t>
      </w:r>
      <w:r>
        <w:rPr>
          <w:rFonts w:eastAsia="Calibri"/>
          <w:sz w:val="20"/>
          <w:szCs w:val="20"/>
          <w:lang w:eastAsia="en-US"/>
        </w:rPr>
        <w:t xml:space="preserve">i -  оценка в баллах по критерию «</w:t>
      </w:r>
      <w:r>
        <w:rPr>
          <w:sz w:val="20"/>
          <w:szCs w:val="20"/>
        </w:rPr>
        <w:t xml:space="preserve">Опыт выполнения договоров</w:t>
      </w:r>
      <w:r>
        <w:rPr>
          <w:rFonts w:eastAsia="Calibri"/>
          <w:sz w:val="20"/>
          <w:szCs w:val="20"/>
          <w:lang w:eastAsia="en-US"/>
        </w:rPr>
        <w:t xml:space="preserve">»; </w:t>
      </w:r>
      <w:r>
        <w:rPr>
          <w:rFonts w:eastAsia="Calibri"/>
          <w:sz w:val="20"/>
          <w:szCs w:val="20"/>
          <w:lang w:eastAsia="en-US"/>
        </w:rPr>
      </w:r>
    </w:p>
    <w:p>
      <w:pPr>
        <w:ind w:left="1418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R</w:t>
      </w:r>
      <w:r>
        <w:rPr>
          <w:rFonts w:eastAsia="Calibri"/>
          <w:sz w:val="20"/>
          <w:szCs w:val="20"/>
          <w:lang w:val="en-US" w:eastAsia="en-US"/>
        </w:rPr>
        <w:t xml:space="preserve">k</w:t>
      </w:r>
      <w:r>
        <w:rPr>
          <w:rFonts w:eastAsia="Calibri"/>
          <w:sz w:val="20"/>
          <w:szCs w:val="20"/>
          <w:lang w:eastAsia="en-US"/>
        </w:rPr>
        <w:t xml:space="preserve">i -  оценка в баллах по критерию «Квалификация участника»; </w:t>
      </w:r>
      <w:r>
        <w:rPr>
          <w:rFonts w:eastAsia="Calibri"/>
          <w:sz w:val="20"/>
          <w:szCs w:val="20"/>
          <w:lang w:eastAsia="en-US"/>
        </w:rPr>
      </w:r>
    </w:p>
    <w:p>
      <w:pPr>
        <w:ind w:left="1418"/>
        <w:spacing w:after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Vs, Vo, </w:t>
      </w:r>
      <w:r>
        <w:rPr>
          <w:rFonts w:eastAsia="Calibri"/>
          <w:sz w:val="20"/>
          <w:szCs w:val="20"/>
          <w:lang w:val="en-US" w:eastAsia="en-US"/>
        </w:rPr>
        <w:t xml:space="preserve">Vk</w:t>
      </w:r>
      <w:r>
        <w:rPr>
          <w:rFonts w:eastAsia="Calibri"/>
          <w:sz w:val="20"/>
          <w:szCs w:val="20"/>
          <w:lang w:eastAsia="en-US"/>
        </w:rPr>
        <w:t xml:space="preserve"> – весовые коэффициенты соответствующих к</w:t>
      </w:r>
      <w:r>
        <w:rPr>
          <w:rFonts w:eastAsia="Calibri"/>
          <w:sz w:val="20"/>
          <w:szCs w:val="20"/>
          <w:lang w:eastAsia="en-US"/>
        </w:rPr>
        <w:t xml:space="preserve">ритериев.</w:t>
      </w:r>
      <w:r>
        <w:rPr>
          <w:rFonts w:eastAsia="Calibri"/>
          <w:sz w:val="20"/>
          <w:szCs w:val="20"/>
          <w:lang w:eastAsia="en-US"/>
        </w:rPr>
      </w:r>
    </w:p>
    <w:p>
      <w:pPr>
        <w:ind w:firstLine="851"/>
        <w:widowControl w:val="off"/>
        <w:tabs>
          <w:tab w:val="left" w:pos="0" w:leader="none"/>
          <w:tab w:val="left" w:pos="1560" w:leader="none"/>
        </w:tabs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</w:r>
      <w:r>
        <w:rPr>
          <w:rFonts w:eastAsia="Calibri"/>
          <w:sz w:val="20"/>
          <w:szCs w:val="20"/>
        </w:rPr>
      </w:r>
    </w:p>
    <w:p>
      <w:pPr>
        <w:pStyle w:val="1495"/>
        <w:numPr>
          <w:ilvl w:val="1"/>
          <w:numId w:val="12"/>
        </w:numPr>
        <w:ind w:left="0" w:firstLine="709"/>
        <w:jc w:val="both"/>
        <w:spacing w:after="120"/>
        <w:widowControl w:val="off"/>
      </w:pPr>
      <w:r>
        <w:t xml:space="preserve">При осуществлении расчета значения по каждому критерию Заказчик осуществляет расчет с точностью до трех знаков после запятой. Полученное значение итогового рейтинга используется для ранжирования заявок по степени предпочтительности. </w:t>
      </w:r>
      <w:r/>
    </w:p>
    <w:p>
      <w:pPr>
        <w:pStyle w:val="1495"/>
        <w:numPr>
          <w:ilvl w:val="0"/>
          <w:numId w:val="12"/>
        </w:numPr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Расчет рейт</w:t>
      </w:r>
      <w:r>
        <w:rPr>
          <w:rFonts w:eastAsia="Calibri"/>
          <w:bCs/>
          <w:lang w:eastAsia="en-US"/>
        </w:rPr>
        <w:t xml:space="preserve">инга каждой заявки </w:t>
      </w:r>
      <w:r>
        <w:rPr>
          <w:rFonts w:eastAsia="Calibri"/>
          <w:b/>
          <w:bCs/>
          <w:lang w:eastAsia="en-US"/>
        </w:rPr>
        <w:t xml:space="preserve">по критерию стоимости</w:t>
      </w:r>
      <w:r>
        <w:rPr>
          <w:rFonts w:eastAsia="Calibri"/>
          <w:bCs/>
          <w:lang w:eastAsia="en-US"/>
        </w:rPr>
        <w:t xml:space="preserve"> производится по следующей формуле: </w:t>
      </w:r>
      <w:r>
        <w:rPr>
          <w:rFonts w:eastAsia="Calibri"/>
          <w:bCs/>
          <w:lang w:eastAsia="en-US"/>
        </w:rPr>
      </w:r>
    </w:p>
    <w:p>
      <w:pPr>
        <w:ind w:firstLine="709"/>
        <w:tabs>
          <w:tab w:val="num" w:pos="142" w:leader="none"/>
          <w:tab w:val="left" w:pos="1701" w:leader="none"/>
        </w:tabs>
        <w:rPr>
          <w:rFonts w:eastAsia="Calibri"/>
          <w:bCs/>
          <w:i/>
          <w:sz w:val="22"/>
          <w:szCs w:val="22"/>
          <w:lang w:val="en-US" w:eastAsia="en-US"/>
        </w:rPr>
      </w:pPr>
      <w:r>
        <w:rPr>
          <w:rFonts w:eastAsia="Calibri"/>
          <w:bCs/>
          <w:i/>
          <w:sz w:val="22"/>
          <w:szCs w:val="22"/>
          <w:lang w:eastAsia="en-US"/>
        </w:rPr>
        <w:t xml:space="preserve">                                                   </w:t>
      </w:r>
      <w:r>
        <w:rPr>
          <w:rFonts w:eastAsia="Calibri"/>
          <w:bCs/>
          <w:i/>
          <w:sz w:val="22"/>
          <w:szCs w:val="22"/>
          <w:lang w:val="en-US" w:eastAsia="en-US"/>
        </w:rPr>
        <w:t xml:space="preserve">S</w:t>
      </w:r>
      <w:r>
        <w:rPr>
          <w:rFonts w:eastAsia="Calibri"/>
          <w:bCs/>
          <w:i/>
          <w:sz w:val="22"/>
          <w:szCs w:val="22"/>
          <w:vertAlign w:val="subscript"/>
          <w:lang w:val="en-US" w:eastAsia="en-US"/>
        </w:rPr>
        <w:t xml:space="preserve">max</w:t>
      </w:r>
      <w:r>
        <w:rPr>
          <w:rFonts w:eastAsia="Calibri"/>
          <w:bCs/>
          <w:i/>
          <w:sz w:val="22"/>
          <w:szCs w:val="22"/>
          <w:lang w:val="en-US" w:eastAsia="en-US"/>
        </w:rPr>
        <w:t xml:space="preserve"> - S</w:t>
      </w:r>
      <w:r>
        <w:rPr>
          <w:rFonts w:eastAsia="Calibri"/>
          <w:bCs/>
          <w:i/>
          <w:sz w:val="22"/>
          <w:szCs w:val="22"/>
          <w:vertAlign w:val="subscript"/>
          <w:lang w:val="en-US" w:eastAsia="en-US"/>
        </w:rPr>
        <w:t xml:space="preserve">i</w:t>
      </w:r>
      <w:r>
        <w:rPr>
          <w:rFonts w:eastAsia="Calibri"/>
          <w:bCs/>
          <w:i/>
          <w:sz w:val="22"/>
          <w:szCs w:val="22"/>
          <w:lang w:val="en-US" w:eastAsia="en-US"/>
        </w:rPr>
      </w:r>
    </w:p>
    <w:p>
      <w:pPr>
        <w:ind w:firstLine="709"/>
        <w:tabs>
          <w:tab w:val="num" w:pos="142" w:leader="none"/>
          <w:tab w:val="left" w:pos="1701" w:leader="none"/>
        </w:tabs>
        <w:rPr>
          <w:rFonts w:eastAsia="Calibri"/>
          <w:bCs/>
          <w:i/>
          <w:sz w:val="22"/>
          <w:szCs w:val="22"/>
          <w:lang w:val="en-US" w:eastAsia="en-US"/>
        </w:rPr>
      </w:pPr>
      <w:r>
        <w:rPr>
          <w:rFonts w:eastAsia="Calibri"/>
          <w:bCs/>
          <w:i/>
          <w:sz w:val="22"/>
          <w:szCs w:val="22"/>
          <w:lang w:val="en-US" w:eastAsia="en-US"/>
        </w:rPr>
        <w:t xml:space="preserve">                                      Rs</w:t>
      </w:r>
      <w:r>
        <w:rPr>
          <w:rFonts w:eastAsia="Calibri"/>
          <w:bCs/>
          <w:i/>
          <w:sz w:val="22"/>
          <w:szCs w:val="22"/>
          <w:vertAlign w:val="subscript"/>
          <w:lang w:val="en-US" w:eastAsia="en-US"/>
        </w:rPr>
        <w:t xml:space="preserve">i</w:t>
      </w:r>
      <w:r>
        <w:rPr>
          <w:rFonts w:eastAsia="Calibri"/>
          <w:bCs/>
          <w:i/>
          <w:sz w:val="22"/>
          <w:szCs w:val="22"/>
          <w:lang w:val="en-US" w:eastAsia="en-US"/>
        </w:rPr>
        <w:t xml:space="preserve">  = --------------- x 100,   </w:t>
      </w:r>
      <w:r>
        <w:rPr>
          <w:rFonts w:eastAsia="Calibri"/>
          <w:bCs/>
          <w:i/>
          <w:sz w:val="22"/>
          <w:szCs w:val="22"/>
          <w:lang w:eastAsia="en-US"/>
        </w:rPr>
        <w:t xml:space="preserve">где</w:t>
      </w:r>
      <w:r>
        <w:rPr>
          <w:rFonts w:eastAsia="Calibri"/>
          <w:bCs/>
          <w:i/>
          <w:sz w:val="22"/>
          <w:szCs w:val="22"/>
          <w:lang w:val="en-US" w:eastAsia="en-US"/>
        </w:rPr>
        <w:t xml:space="preserve">:</w:t>
      </w:r>
      <w:r>
        <w:rPr>
          <w:rFonts w:eastAsia="Calibri"/>
          <w:bCs/>
          <w:i/>
          <w:sz w:val="22"/>
          <w:szCs w:val="22"/>
          <w:lang w:val="en-US" w:eastAsia="en-US"/>
        </w:rPr>
      </w:r>
    </w:p>
    <w:p>
      <w:pPr>
        <w:ind w:firstLine="709"/>
        <w:tabs>
          <w:tab w:val="num" w:pos="142" w:leader="none"/>
          <w:tab w:val="left" w:pos="1701" w:leader="none"/>
        </w:tabs>
        <w:rPr>
          <w:rFonts w:eastAsia="Calibri"/>
          <w:i/>
          <w:sz w:val="22"/>
        </w:rPr>
      </w:pPr>
      <w:r>
        <w:rPr>
          <w:rFonts w:eastAsia="Calibri"/>
          <w:bCs/>
          <w:i/>
          <w:sz w:val="22"/>
          <w:szCs w:val="22"/>
          <w:lang w:val="en-US" w:eastAsia="en-US"/>
        </w:rPr>
        <w:t xml:space="preserve">                                                      S</w:t>
      </w:r>
      <w:r>
        <w:rPr>
          <w:rFonts w:eastAsia="Calibri"/>
          <w:bCs/>
          <w:i/>
          <w:sz w:val="22"/>
          <w:szCs w:val="22"/>
          <w:vertAlign w:val="subscript"/>
          <w:lang w:val="en-US" w:eastAsia="en-US"/>
        </w:rPr>
        <w:t xml:space="preserve">max</w:t>
      </w:r>
      <w:r>
        <w:rPr>
          <w:rFonts w:eastAsia="Calibri"/>
          <w:i/>
          <w:sz w:val="22"/>
        </w:rPr>
      </w:r>
    </w:p>
    <w:p>
      <w:pPr>
        <w:ind w:firstLine="709"/>
        <w:spacing w:after="0"/>
        <w:tabs>
          <w:tab w:val="num" w:pos="142" w:leader="none"/>
          <w:tab w:val="left" w:pos="1560" w:leader="none"/>
        </w:tabs>
        <w:rPr>
          <w:rFonts w:eastAsia="Calibri"/>
          <w:sz w:val="20"/>
        </w:rPr>
      </w:pPr>
      <w:r>
        <w:rPr>
          <w:rFonts w:eastAsia="Calibri"/>
          <w:sz w:val="20"/>
        </w:rPr>
      </w:r>
      <w:r>
        <w:rPr>
          <w:rFonts w:eastAsia="Calibri"/>
          <w:sz w:val="20"/>
        </w:rPr>
      </w:r>
    </w:p>
    <w:p>
      <w:pPr>
        <w:ind w:left="1418"/>
        <w:spacing w:after="0"/>
        <w:tabs>
          <w:tab w:val="num" w:pos="142" w:leader="none"/>
          <w:tab w:val="left" w:pos="1560" w:leader="none"/>
        </w:tabs>
        <w:rPr>
          <w:rFonts w:eastAsia="Calibri"/>
          <w:bCs/>
          <w:sz w:val="20"/>
          <w:szCs w:val="20"/>
          <w:lang w:eastAsia="en-US"/>
        </w:rPr>
      </w:pPr>
      <w:r>
        <w:rPr>
          <w:rFonts w:eastAsia="Calibri"/>
          <w:bCs/>
          <w:sz w:val="20"/>
          <w:szCs w:val="20"/>
          <w:lang w:eastAsia="en-US"/>
        </w:rPr>
        <w:t xml:space="preserve">R</w:t>
      </w:r>
      <w:r>
        <w:rPr>
          <w:rFonts w:eastAsia="Calibri"/>
          <w:bCs/>
          <w:sz w:val="20"/>
          <w:szCs w:val="20"/>
          <w:lang w:val="en-US" w:eastAsia="en-US"/>
        </w:rPr>
        <w:t xml:space="preserve">s</w:t>
      </w:r>
      <w:r>
        <w:rPr>
          <w:rFonts w:eastAsia="Calibri"/>
          <w:bCs/>
          <w:sz w:val="20"/>
          <w:szCs w:val="20"/>
          <w:vertAlign w:val="subscript"/>
          <w:lang w:val="en-US" w:eastAsia="en-US"/>
        </w:rPr>
        <w:t xml:space="preserve">i</w:t>
      </w:r>
      <w:r>
        <w:rPr>
          <w:rFonts w:eastAsia="Calibri"/>
          <w:bCs/>
          <w:sz w:val="20"/>
          <w:szCs w:val="20"/>
          <w:lang w:eastAsia="en-US"/>
        </w:rPr>
        <w:t xml:space="preserve"> - рейтинг i-й заявки по критерию стоимости;</w:t>
      </w:r>
      <w:r>
        <w:rPr>
          <w:rFonts w:eastAsia="Calibri"/>
          <w:bCs/>
          <w:sz w:val="20"/>
          <w:szCs w:val="20"/>
          <w:lang w:eastAsia="en-US"/>
        </w:rPr>
      </w:r>
    </w:p>
    <w:p>
      <w:pPr>
        <w:ind w:left="1418"/>
        <w:spacing w:after="0"/>
        <w:tabs>
          <w:tab w:val="num" w:pos="142" w:leader="none"/>
          <w:tab w:val="left" w:pos="1560" w:leader="none"/>
        </w:tabs>
        <w:rPr>
          <w:rFonts w:eastAsia="Calibri"/>
          <w:bCs/>
          <w:sz w:val="20"/>
          <w:szCs w:val="20"/>
          <w:lang w:eastAsia="en-US"/>
        </w:rPr>
      </w:pPr>
      <w:r>
        <w:rPr>
          <w:rFonts w:eastAsia="Calibri"/>
          <w:bCs/>
          <w:sz w:val="20"/>
          <w:szCs w:val="20"/>
          <w:lang w:val="en-US" w:eastAsia="en-US"/>
        </w:rPr>
        <w:t xml:space="preserve">S</w:t>
      </w:r>
      <w:r>
        <w:rPr>
          <w:rFonts w:eastAsia="Calibri"/>
          <w:bCs/>
          <w:sz w:val="20"/>
          <w:szCs w:val="20"/>
          <w:vertAlign w:val="subscript"/>
          <w:lang w:val="en-US" w:eastAsia="en-US"/>
        </w:rPr>
        <w:t xml:space="preserve">max</w:t>
      </w:r>
      <w:r>
        <w:rPr>
          <w:rFonts w:eastAsia="Calibri"/>
          <w:bCs/>
          <w:sz w:val="20"/>
          <w:szCs w:val="20"/>
          <w:lang w:eastAsia="en-US"/>
        </w:rPr>
        <w:t xml:space="preserve"> – объявленная начальная (максимальная) цена договора;</w:t>
      </w:r>
      <w:r>
        <w:rPr>
          <w:rFonts w:eastAsia="Calibri"/>
          <w:bCs/>
          <w:sz w:val="20"/>
          <w:szCs w:val="20"/>
          <w:lang w:eastAsia="en-US"/>
        </w:rPr>
      </w:r>
    </w:p>
    <w:p>
      <w:pPr>
        <w:ind w:left="1418"/>
        <w:spacing w:after="0"/>
        <w:tabs>
          <w:tab w:val="num" w:pos="142" w:leader="none"/>
          <w:tab w:val="left" w:pos="1560" w:leader="none"/>
        </w:tabs>
        <w:rPr>
          <w:rFonts w:eastAsia="Calibri"/>
          <w:bCs/>
          <w:sz w:val="20"/>
          <w:szCs w:val="20"/>
          <w:lang w:eastAsia="en-US"/>
        </w:rPr>
      </w:pPr>
      <w:r>
        <w:rPr>
          <w:rFonts w:eastAsia="Calibri"/>
          <w:bCs/>
          <w:sz w:val="20"/>
          <w:szCs w:val="20"/>
          <w:lang w:val="en-US" w:eastAsia="en-US"/>
        </w:rPr>
        <w:t xml:space="preserve">S</w:t>
      </w:r>
      <w:r>
        <w:rPr>
          <w:rFonts w:eastAsia="Calibri"/>
          <w:bCs/>
          <w:sz w:val="20"/>
          <w:szCs w:val="20"/>
          <w:vertAlign w:val="subscript"/>
          <w:lang w:val="en-US" w:eastAsia="en-US"/>
        </w:rPr>
        <w:t xml:space="preserve">i</w:t>
      </w:r>
      <w:r>
        <w:rPr>
          <w:rFonts w:eastAsia="Calibri"/>
          <w:bCs/>
          <w:sz w:val="20"/>
          <w:szCs w:val="20"/>
          <w:lang w:eastAsia="en-US"/>
        </w:rPr>
        <w:t xml:space="preserve"> - стоимость заявки i-го участника.</w:t>
      </w:r>
      <w:r>
        <w:rPr>
          <w:rFonts w:eastAsia="Calibri"/>
          <w:bCs/>
          <w:sz w:val="20"/>
          <w:szCs w:val="20"/>
          <w:lang w:eastAsia="en-US"/>
        </w:rPr>
      </w:r>
    </w:p>
    <w:p>
      <w:pPr>
        <w:ind w:firstLine="709"/>
        <w:spacing w:after="120"/>
        <w:tabs>
          <w:tab w:val="left" w:pos="0" w:leader="none"/>
          <w:tab w:val="left" w:pos="1560" w:leader="none"/>
        </w:tabs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</w:r>
      <w:r>
        <w:rPr>
          <w:rFonts w:eastAsia="Calibri"/>
          <w:bCs/>
          <w:lang w:eastAsia="en-US"/>
        </w:rPr>
      </w:r>
    </w:p>
    <w:p>
      <w:pPr>
        <w:ind w:firstLine="709"/>
        <w:spacing w:after="120"/>
        <w:tabs>
          <w:tab w:val="left" w:pos="0" w:leader="none"/>
          <w:tab w:val="left" w:pos="1560" w:leader="none"/>
        </w:tabs>
        <w:rPr>
          <w:rFonts w:eastAsia="Calibri"/>
        </w:rPr>
      </w:pPr>
      <w:r>
        <w:rPr>
          <w:rFonts w:eastAsia="Calibri"/>
        </w:rPr>
        <w:t xml:space="preserve">Для целей оценки заявок по ценовому критерию применяются ценовые предложения участников закупки.</w:t>
      </w:r>
      <w:r>
        <w:rPr>
          <w:rFonts w:eastAsia="Calibri"/>
        </w:rPr>
      </w:r>
    </w:p>
    <w:p>
      <w:pPr>
        <w:ind w:firstLine="709"/>
        <w:spacing w:after="120"/>
        <w:tabs>
          <w:tab w:val="left" w:pos="0" w:leader="none"/>
          <w:tab w:val="left" w:pos="1560" w:leader="none"/>
        </w:tabs>
        <w:rPr>
          <w:rFonts w:eastAsia="Calibri"/>
        </w:rPr>
      </w:pPr>
      <w:r>
        <w:rPr>
          <w:rFonts w:eastAsia="Calibri"/>
        </w:rPr>
        <w:t xml:space="preserve">Полученное значение ценового рейтинга заявки является балльной оценкой по данному критерию и учитывается в итоговом рейтинге с учетом весового коэффициента. </w:t>
      </w:r>
      <w:r>
        <w:rPr>
          <w:rFonts w:eastAsia="Calibri"/>
        </w:rPr>
      </w:r>
    </w:p>
    <w:p>
      <w:pPr>
        <w:pStyle w:val="1495"/>
        <w:numPr>
          <w:ilvl w:val="0"/>
          <w:numId w:val="12"/>
        </w:numPr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</w:t>
      </w:r>
      <w:r>
        <w:rPr>
          <w:rFonts w:eastAsia="Calibri"/>
          <w:bCs/>
          <w:lang w:eastAsia="en-US"/>
        </w:rPr>
        <w:t xml:space="preserve">о критерию «Опыт выполнения работ» (коэффициент Ro i-й заявки) оценка рассчитывается как сумма промежуточных баллов следующих показателей (Сo1.1 и Сo1.2):</w:t>
      </w:r>
      <w:r>
        <w:rPr>
          <w:rFonts w:eastAsia="Calibri"/>
          <w:bCs/>
          <w:lang w:eastAsia="en-US"/>
        </w:rPr>
      </w:r>
    </w:p>
    <w:p>
      <w:pPr>
        <w:ind w:right="-6" w:firstLine="567"/>
        <w:spacing w:after="120"/>
        <w:rPr>
          <w:color w:val="000000"/>
          <w:highlight w:val="white"/>
        </w:rPr>
      </w:pPr>
      <w:r>
        <w:rPr>
          <w:color w:val="000000"/>
          <w:highlight w:val="white"/>
          <w:lang w:val="en-US"/>
        </w:rPr>
        <w:t xml:space="preserve">R</w:t>
      </w:r>
      <w:r>
        <w:rPr>
          <w:color w:val="000000"/>
          <w:highlight w:val="white"/>
          <w:vertAlign w:val="subscript"/>
          <w:lang w:val="en-US"/>
        </w:rPr>
        <w:t xml:space="preserve">oi</w:t>
      </w:r>
      <w:r>
        <w:rPr>
          <w:color w:val="000000"/>
          <w:highlight w:val="white"/>
          <w:vertAlign w:val="subscript"/>
        </w:rPr>
        <w:t xml:space="preserve">1</w:t>
      </w:r>
      <w:r>
        <w:rPr>
          <w:color w:val="000000"/>
          <w:highlight w:val="white"/>
        </w:rPr>
        <w:t xml:space="preserve"> – наличие у Участника за последние три года до даты публикации извещения о проведении закупки исполненных и/или действующих договоров на выполнение работ по созданию и/или внедрению и/или доработке и/или развитию и/или модернизации автоматизированной сист</w:t>
      </w:r>
      <w:r>
        <w:rPr>
          <w:color w:val="000000"/>
          <w:highlight w:val="white"/>
        </w:rPr>
        <w:t xml:space="preserve">емы управления персоналом (включая процесс расчета заработной платы), с ценой исполненных обязательств по каждому договору не менее 80% от начальной (максимальной) цены договора, установленной в п.5 части II «ИНФОРМАЦИОННАЯ КАРТА ЗАКУПКИ», для нужд компани</w:t>
      </w:r>
      <w:r>
        <w:rPr>
          <w:color w:val="000000"/>
          <w:highlight w:val="white"/>
        </w:rPr>
        <w:t xml:space="preserve">й  электросетевого комплекса, имеющих территориально распределенную сеть филиалов (от 3 филиалов и более).</w:t>
      </w:r>
      <w:r>
        <w:rPr>
          <w:color w:val="000000"/>
          <w:highlight w:val="white"/>
        </w:rPr>
      </w:r>
    </w:p>
    <w:p>
      <w:pPr>
        <w:ind w:right="-6" w:firstLine="567"/>
        <w:spacing w:after="12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Оценка по показателю </w:t>
      </w:r>
      <w:r>
        <w:rPr>
          <w:color w:val="000000"/>
          <w:highlight w:val="white"/>
          <w:lang w:val="en-US"/>
        </w:rPr>
        <w:t xml:space="preserve">R</w:t>
      </w:r>
      <w:r>
        <w:rPr>
          <w:color w:val="000000"/>
          <w:highlight w:val="white"/>
          <w:vertAlign w:val="subscript"/>
          <w:lang w:val="en-US"/>
        </w:rPr>
        <w:t xml:space="preserve">oi</w:t>
      </w:r>
      <w:r>
        <w:rPr>
          <w:color w:val="000000"/>
          <w:highlight w:val="white"/>
          <w:vertAlign w:val="subscript"/>
        </w:rPr>
        <w:t xml:space="preserve">1</w:t>
      </w:r>
      <w:r>
        <w:rPr>
          <w:color w:val="000000"/>
          <w:highlight w:val="white"/>
        </w:rPr>
        <w:t xml:space="preserve"> производится членами Закупочной комиссии (при необходимости – с привлечением экспертов) на основании справки </w:t>
      </w:r>
      <w:r>
        <w:t xml:space="preserve">для оценки опы</w:t>
      </w:r>
      <w:r>
        <w:t xml:space="preserve">та исполнения за последние 3 (три) года договоров по созданию и/или внедрению и/или доработке и/или развитию и/или модернизации автоматизированной системы управления персоналом (включая процесс расчета заработной платы) для нужд компаний электросетевого ко</w:t>
      </w:r>
      <w:r>
        <w:t xml:space="preserve">мплекса</w:t>
      </w:r>
      <w:r>
        <w:rPr>
          <w:color w:val="000000"/>
          <w:highlight w:val="white"/>
        </w:rPr>
        <w:t xml:space="preserve"> (часть </w:t>
      </w:r>
      <w:r>
        <w:rPr>
          <w:color w:val="000000"/>
          <w:highlight w:val="white"/>
          <w:lang w:val="en-US"/>
        </w:rPr>
        <w:t xml:space="preserve">III</w:t>
      </w:r>
      <w:r>
        <w:rPr>
          <w:color w:val="000000"/>
          <w:highlight w:val="white"/>
        </w:rPr>
        <w:t xml:space="preserve"> «ОБРАЗЦЫ ФОРМ ДЛЯ ЗАПОЛНЕНИЯ УЧАСТНИКАМИ ЗАКУПКИ», форма 6.2), с приложением копий договоров, копий актов выполненных работ (с обязательным указанием сумм в договорах и актах). Дата подписания последнего акта выполненных работ не должна </w:t>
      </w:r>
      <w:r>
        <w:rPr>
          <w:color w:val="000000"/>
          <w:highlight w:val="white"/>
        </w:rPr>
        <w:t xml:space="preserve">быть ранее 3 лет до даты публикации извещения о настоящей закупке.</w:t>
      </w:r>
      <w:r>
        <w:rPr>
          <w:color w:val="000000"/>
          <w:highlight w:val="white"/>
        </w:rPr>
      </w:r>
    </w:p>
    <w:p>
      <w:pPr>
        <w:ind w:firstLine="567"/>
        <w:spacing w:before="120"/>
        <w:rPr>
          <w:highlight w:val="white"/>
        </w:rPr>
      </w:pPr>
      <w:r>
        <w:rPr>
          <w:highlight w:val="white"/>
        </w:rPr>
        <w:t xml:space="preserve">Оценка проводится по следующей шкале:</w:t>
      </w:r>
      <w:r>
        <w:rPr>
          <w:highlight w:val="white"/>
        </w:rPr>
      </w:r>
    </w:p>
    <w:p>
      <w:pPr>
        <w:numPr>
          <w:ilvl w:val="0"/>
          <w:numId w:val="65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0 баллов – отсутствие исполненных или действующих договоров;</w:t>
      </w:r>
      <w:r>
        <w:rPr>
          <w:highlight w:val="white"/>
        </w:rPr>
      </w:r>
    </w:p>
    <w:p>
      <w:pPr>
        <w:numPr>
          <w:ilvl w:val="0"/>
          <w:numId w:val="65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10 баллов – наличие 1 исполненного или действующего договора;</w:t>
      </w:r>
      <w:r>
        <w:rPr>
          <w:highlight w:val="white"/>
        </w:rPr>
      </w:r>
    </w:p>
    <w:p>
      <w:pPr>
        <w:numPr>
          <w:ilvl w:val="0"/>
          <w:numId w:val="65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20 баллов – наличие 2 исполн</w:t>
      </w:r>
      <w:r>
        <w:rPr>
          <w:highlight w:val="white"/>
        </w:rPr>
        <w:t xml:space="preserve">енных и/или действующих договоров;</w:t>
      </w:r>
      <w:r>
        <w:rPr>
          <w:highlight w:val="white"/>
        </w:rPr>
      </w:r>
    </w:p>
    <w:p>
      <w:pPr>
        <w:numPr>
          <w:ilvl w:val="0"/>
          <w:numId w:val="65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30 баллов – наличие 3 исполненных и/или действующих договоров;</w:t>
      </w:r>
      <w:r>
        <w:rPr>
          <w:highlight w:val="white"/>
        </w:rPr>
      </w:r>
    </w:p>
    <w:p>
      <w:pPr>
        <w:numPr>
          <w:ilvl w:val="0"/>
          <w:numId w:val="65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40 баллов – наличие 4 исполненных и/или действующих договоров;</w:t>
      </w:r>
      <w:r>
        <w:rPr>
          <w:highlight w:val="white"/>
        </w:rPr>
      </w:r>
    </w:p>
    <w:p>
      <w:pPr>
        <w:numPr>
          <w:ilvl w:val="0"/>
          <w:numId w:val="65"/>
        </w:numPr>
        <w:ind w:left="1276" w:hanging="283"/>
        <w:spacing w:after="120" w:line="276" w:lineRule="auto"/>
        <w:rPr>
          <w:highlight w:val="white"/>
        </w:rPr>
      </w:pPr>
      <w:r>
        <w:rPr>
          <w:highlight w:val="white"/>
        </w:rPr>
        <w:t xml:space="preserve">50 баллов – наличие 5 и более исполненных и/или действующих договоров.</w:t>
      </w:r>
      <w:r>
        <w:rPr>
          <w:highlight w:val="white"/>
        </w:rPr>
      </w:r>
    </w:p>
    <w:p>
      <w:pPr>
        <w:ind w:right="33" w:firstLine="567"/>
        <w:spacing w:after="120"/>
        <w:rPr>
          <w:highlight w:val="white"/>
        </w:rPr>
      </w:pPr>
      <w:r>
        <w:rPr>
          <w:highlight w:val="white"/>
        </w:rPr>
        <w:t xml:space="preserve">Максимальное значение по</w:t>
      </w:r>
      <w:r>
        <w:rPr>
          <w:highlight w:val="white"/>
        </w:rPr>
        <w:t xml:space="preserve">казателя </w:t>
      </w:r>
      <w:r>
        <w:rPr>
          <w:highlight w:val="white"/>
          <w:lang w:val="en-US"/>
        </w:rPr>
        <w:t xml:space="preserve">Roi</w:t>
      </w:r>
      <w:r>
        <w:rPr>
          <w:highlight w:val="white"/>
        </w:rPr>
        <w:t xml:space="preserve">1 – 50 баллов.</w:t>
      </w:r>
      <w:r>
        <w:rPr>
          <w:highlight w:val="white"/>
        </w:rPr>
      </w:r>
    </w:p>
    <w:p>
      <w:pPr>
        <w:ind w:right="33" w:firstLine="567"/>
        <w:spacing w:after="120"/>
        <w:rPr>
          <w:highlight w:val="white"/>
        </w:rPr>
      </w:pPr>
      <w:r>
        <w:t xml:space="preserve">Допускается скрыть конфиденциальную информацию, которая не имеет отношения к закупке, при этом предмет договора, дата договора, общая сумма договора, наименование товара и общая сумма в актах и товарных накладных должны быть откр</w:t>
      </w:r>
      <w:r>
        <w:t xml:space="preserve">ыты.</w:t>
      </w:r>
      <w:r>
        <w:rPr>
          <w:highlight w:val="white"/>
        </w:rPr>
      </w:r>
    </w:p>
    <w:p>
      <w:pPr>
        <w:ind w:right="-6" w:firstLine="560"/>
        <w:spacing w:after="120"/>
        <w:rPr>
          <w:rFonts w:eastAsia="Calibri"/>
          <w:bCs/>
          <w:lang w:eastAsia="ar-SA"/>
        </w:rPr>
      </w:pPr>
      <w:r>
        <w:rPr>
          <w:color w:val="000000" w:themeColor="text1"/>
        </w:rPr>
        <w:t xml:space="preserve">В случае отсутствия в составе заявки Участника справки </w:t>
      </w:r>
      <w:r>
        <w:t xml:space="preserve">для оценки опыта исполнения за последние 3 (три) года договоров по созданию и/или внедрению и/или доработке и/или развитию и/или модернизации автоматизированной системы управления персоналом (вклю</w:t>
      </w:r>
      <w:r>
        <w:t xml:space="preserve">чая процесс расчета заработной платы) для нужд компаний электросетевого комплекса</w:t>
      </w:r>
      <w:r>
        <w:rPr>
          <w:color w:val="000000"/>
          <w:highlight w:val="white"/>
        </w:rPr>
        <w:t xml:space="preserve"> </w:t>
      </w:r>
      <w:r>
        <w:rPr>
          <w:color w:val="000000" w:themeColor="text1"/>
        </w:rPr>
        <w:t xml:space="preserve">(форма 6.2) и/или подтверждающих документов (копий договоров и</w:t>
      </w:r>
      <w:r>
        <w:rPr>
          <w:rFonts w:eastAsia="Calibri"/>
          <w:bCs/>
        </w:rPr>
        <w:t xml:space="preserve">/или актов выполненных работ), а также, если в справке указаны договоры, не соответствующие установленным в доку</w:t>
      </w:r>
      <w:r>
        <w:rPr>
          <w:rFonts w:eastAsia="Calibri"/>
          <w:bCs/>
        </w:rPr>
        <w:t xml:space="preserve">ментации о закупке параметрам, заявке данного участника по оцениваемому критерию присваивается значение 0 баллов.  Отсутствие указанных документов не является основанием для отклонения Заявки участника.</w:t>
      </w:r>
      <w:r>
        <w:rPr>
          <w:rFonts w:eastAsia="Calibri"/>
          <w:bCs/>
          <w:lang w:eastAsia="ar-SA"/>
        </w:rPr>
        <w:t xml:space="preserve"> </w:t>
      </w:r>
      <w:r>
        <w:rPr>
          <w:rFonts w:eastAsia="Calibri"/>
          <w:bCs/>
          <w:lang w:eastAsia="ar-SA"/>
        </w:rPr>
      </w:r>
    </w:p>
    <w:p>
      <w:pPr>
        <w:ind w:right="33" w:firstLine="567"/>
        <w:spacing w:after="120"/>
        <w:rPr>
          <w:highlight w:val="white"/>
        </w:rPr>
      </w:pPr>
      <w:r>
        <w:rPr>
          <w:highlight w:val="white"/>
          <w:lang w:val="en-US"/>
        </w:rPr>
        <w:t xml:space="preserve">R</w:t>
      </w:r>
      <w:r>
        <w:rPr>
          <w:highlight w:val="white"/>
          <w:vertAlign w:val="subscript"/>
          <w:lang w:val="en-US"/>
        </w:rPr>
        <w:t xml:space="preserve">oi</w:t>
      </w:r>
      <w:r>
        <w:rPr>
          <w:highlight w:val="white"/>
          <w:vertAlign w:val="subscript"/>
        </w:rPr>
        <w:t xml:space="preserve">2</w:t>
      </w:r>
      <w:r>
        <w:rPr>
          <w:highlight w:val="white"/>
        </w:rPr>
        <w:t xml:space="preserve">  – наличие у Участника за последние 3 (три) год</w:t>
      </w:r>
      <w:r>
        <w:rPr>
          <w:highlight w:val="white"/>
        </w:rPr>
        <w:t xml:space="preserve">а до даты публикации извещения о проведении закупки действующих и/или исполненных договоров на выполнение работ по созданию и/или внедрению и/или разработке и/или развитию и/или модернизации и/или расширению информационных и/или автоматизированных систем у</w:t>
      </w:r>
      <w:r>
        <w:rPr>
          <w:highlight w:val="white"/>
        </w:rPr>
        <w:t xml:space="preserve">правления на базе программного обеспечения, включенного в Единый реестр российских программ для </w:t>
      </w:r>
      <w:r>
        <w:rPr>
          <w:highlight w:val="white"/>
        </w:rPr>
        <w:t xml:space="preserve">электронных вычислительных машин и баз данных, с ценой исполненных обязательств по каждому договору не менее 80% начальной (максимальной) цены договора, установ</w:t>
      </w:r>
      <w:r>
        <w:rPr>
          <w:highlight w:val="white"/>
        </w:rPr>
        <w:t xml:space="preserve">ленной в п.5 части II «ИНФОРМАЦИОННАЯ КАРТА ЗАКУПКИ», для нужд компаний, имеющих территориально распределенную сеть филиалов (от 3 филиалов и более).</w:t>
      </w:r>
      <w:r>
        <w:rPr>
          <w:highlight w:val="white"/>
        </w:rPr>
      </w:r>
    </w:p>
    <w:p>
      <w:pPr>
        <w:ind w:right="33" w:firstLine="567"/>
        <w:spacing w:after="120"/>
        <w:rPr>
          <w:highlight w:val="white"/>
        </w:rPr>
      </w:pPr>
      <w:r>
        <w:rPr>
          <w:highlight w:val="white"/>
        </w:rPr>
        <w:t xml:space="preserve">Оценка по показателю </w:t>
      </w:r>
      <w:r>
        <w:rPr>
          <w:highlight w:val="white"/>
          <w:lang w:val="en-US"/>
        </w:rPr>
        <w:t xml:space="preserve">R</w:t>
      </w:r>
      <w:r>
        <w:rPr>
          <w:highlight w:val="white"/>
          <w:vertAlign w:val="subscript"/>
          <w:lang w:val="en-US"/>
        </w:rPr>
        <w:t xml:space="preserve">oi</w:t>
      </w:r>
      <w:r>
        <w:rPr>
          <w:highlight w:val="white"/>
          <w:vertAlign w:val="subscript"/>
        </w:rPr>
        <w:t xml:space="preserve">2</w:t>
      </w:r>
      <w:r>
        <w:rPr>
          <w:highlight w:val="white"/>
        </w:rPr>
        <w:t xml:space="preserve"> производится членами Закупочной комиссии (при необходимости – с привлечением экспертов) на основании справки для оценки опыта по созданию и/или внедрению и/или разработке и/или развитию и/или модернизации и/или расширению информационных и/или автоматизиро</w:t>
      </w:r>
      <w:r>
        <w:rPr>
          <w:highlight w:val="white"/>
        </w:rPr>
        <w:t xml:space="preserve">ванных систем управления на базе программного обеспечения, включенного в Единый реестр российских программ для электронных вычислительных машин и баз данных для нужд компаний, имеющих территориально распределенную сеть филиалов (от 3 филиалов и более) (час</w:t>
      </w:r>
      <w:r>
        <w:rPr>
          <w:highlight w:val="white"/>
        </w:rPr>
        <w:t xml:space="preserve">ть </w:t>
      </w:r>
      <w:r>
        <w:rPr>
          <w:highlight w:val="white"/>
          <w:lang w:val="en-US"/>
        </w:rPr>
        <w:t xml:space="preserve">III</w:t>
      </w:r>
      <w:r>
        <w:rPr>
          <w:highlight w:val="white"/>
        </w:rPr>
        <w:t xml:space="preserve"> «ОБРАЗЦЫ ФОРМ ДЛЯ ЗАПОЛНЕНИЯ УЧАСТНИКАМИ ЗАКУПКИ», форма 6.3), с приложением копий договоров, копий актов выполненных работ </w:t>
      </w:r>
      <w:r>
        <w:rPr>
          <w:color w:val="000000"/>
          <w:highlight w:val="white"/>
        </w:rPr>
        <w:t xml:space="preserve">(с обязательным указанием сумм в договорах и актах)</w:t>
      </w:r>
      <w:r>
        <w:rPr>
          <w:highlight w:val="white"/>
        </w:rPr>
        <w:t xml:space="preserve">. Дата подписания последнего акта выполненных работ не должна быть ранее 3</w:t>
      </w:r>
      <w:r>
        <w:rPr>
          <w:highlight w:val="white"/>
        </w:rPr>
        <w:t xml:space="preserve"> лет до даты публикации извещения о настоящей закупке.</w:t>
      </w:r>
      <w:r>
        <w:rPr>
          <w:highlight w:val="white"/>
        </w:rPr>
      </w:r>
    </w:p>
    <w:p>
      <w:pPr>
        <w:ind w:right="33" w:firstLine="567"/>
        <w:spacing w:after="120"/>
        <w:rPr>
          <w:highlight w:val="white"/>
        </w:rPr>
      </w:pPr>
      <w:r>
        <w:rPr>
          <w:highlight w:val="white"/>
        </w:rPr>
        <w:t xml:space="preserve">Оценка проводится по следующей шкале:</w:t>
      </w:r>
      <w:r>
        <w:rPr>
          <w:highlight w:val="white"/>
        </w:rPr>
      </w:r>
    </w:p>
    <w:p>
      <w:pPr>
        <w:numPr>
          <w:ilvl w:val="0"/>
          <w:numId w:val="64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0 баллов – отсутствие исполненных или действующих договоров;</w:t>
      </w:r>
      <w:r>
        <w:rPr>
          <w:highlight w:val="white"/>
        </w:rPr>
      </w:r>
    </w:p>
    <w:p>
      <w:pPr>
        <w:numPr>
          <w:ilvl w:val="0"/>
          <w:numId w:val="64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10 баллов – наличие 1 исполненного или действующего договора;</w:t>
      </w:r>
      <w:r>
        <w:rPr>
          <w:highlight w:val="white"/>
        </w:rPr>
      </w:r>
    </w:p>
    <w:p>
      <w:pPr>
        <w:numPr>
          <w:ilvl w:val="0"/>
          <w:numId w:val="64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20 баллов – наличие 2 исполненных и/или </w:t>
      </w:r>
      <w:r>
        <w:rPr>
          <w:highlight w:val="white"/>
        </w:rPr>
        <w:t xml:space="preserve">действующих договоров;</w:t>
      </w:r>
      <w:r>
        <w:rPr>
          <w:highlight w:val="white"/>
        </w:rPr>
      </w:r>
    </w:p>
    <w:p>
      <w:pPr>
        <w:numPr>
          <w:ilvl w:val="0"/>
          <w:numId w:val="64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30 баллов – наличие 3 исполненных и/или действующих договоров;</w:t>
      </w:r>
      <w:r>
        <w:rPr>
          <w:highlight w:val="white"/>
        </w:rPr>
      </w:r>
    </w:p>
    <w:p>
      <w:pPr>
        <w:numPr>
          <w:ilvl w:val="0"/>
          <w:numId w:val="64"/>
        </w:numPr>
        <w:ind w:left="1276" w:hanging="284"/>
        <w:spacing w:after="0"/>
        <w:rPr>
          <w:highlight w:val="white"/>
        </w:rPr>
      </w:pPr>
      <w:r>
        <w:rPr>
          <w:highlight w:val="white"/>
        </w:rPr>
        <w:t xml:space="preserve">40 баллов – наличие 4 исполненных и/или действующих договоров;</w:t>
      </w:r>
      <w:r>
        <w:rPr>
          <w:highlight w:val="white"/>
        </w:rPr>
      </w:r>
    </w:p>
    <w:p>
      <w:pPr>
        <w:numPr>
          <w:ilvl w:val="0"/>
          <w:numId w:val="64"/>
        </w:numPr>
        <w:ind w:left="1276" w:hanging="284"/>
        <w:spacing w:after="120"/>
        <w:rPr>
          <w:highlight w:val="white"/>
        </w:rPr>
      </w:pPr>
      <w:r>
        <w:rPr>
          <w:highlight w:val="white"/>
        </w:rPr>
        <w:t xml:space="preserve">50 баллов – наличие 5 и более исполненных и/или действующих договоров.</w:t>
      </w:r>
      <w:r>
        <w:rPr>
          <w:highlight w:val="white"/>
        </w:rPr>
      </w:r>
    </w:p>
    <w:p>
      <w:pPr>
        <w:ind w:right="33" w:firstLine="709"/>
        <w:spacing w:after="120"/>
        <w:tabs>
          <w:tab w:val="left" w:pos="9498" w:leader="none"/>
        </w:tabs>
        <w:rPr>
          <w:highlight w:val="white"/>
        </w:rPr>
      </w:pPr>
      <w:r>
        <w:rPr>
          <w:highlight w:val="white"/>
        </w:rPr>
        <w:t xml:space="preserve">Максимальное значение показателя </w:t>
      </w:r>
      <w:r>
        <w:rPr>
          <w:highlight w:val="white"/>
          <w:lang w:val="en-US"/>
        </w:rPr>
        <w:t xml:space="preserve">R</w:t>
      </w:r>
      <w:r>
        <w:rPr>
          <w:highlight w:val="white"/>
          <w:vertAlign w:val="subscript"/>
          <w:lang w:val="en-US"/>
        </w:rPr>
        <w:t xml:space="preserve">oi</w:t>
      </w:r>
      <w:r>
        <w:rPr>
          <w:highlight w:val="white"/>
          <w:vertAlign w:val="subscript"/>
        </w:rPr>
        <w:t xml:space="preserve">2</w:t>
      </w:r>
      <w:r>
        <w:rPr>
          <w:highlight w:val="white"/>
        </w:rPr>
        <w:t xml:space="preserve"> – 50 баллов</w:t>
      </w:r>
      <w:r>
        <w:rPr>
          <w:highlight w:val="white"/>
        </w:rPr>
      </w:r>
    </w:p>
    <w:p>
      <w:pPr>
        <w:ind w:right="33" w:firstLine="709"/>
        <w:spacing w:after="120"/>
        <w:tabs>
          <w:tab w:val="left" w:pos="9498" w:leader="none"/>
        </w:tabs>
        <w:rPr>
          <w:highlight w:val="white"/>
        </w:rPr>
      </w:pPr>
      <w:r>
        <w:t xml:space="preserve">Допускается скрыть конфиденциальную информацию, которая не имеет отношения к закупке, при этом предмет договора, дата договора, общая с</w:t>
      </w:r>
      <w:r>
        <w:t xml:space="preserve">умма договора, наименование товара и общая сумма в актах и товарных накладных должны быть открыты.</w:t>
      </w:r>
      <w:r>
        <w:rPr>
          <w:highlight w:val="white"/>
        </w:rPr>
      </w:r>
    </w:p>
    <w:p>
      <w:pPr>
        <w:ind w:right="33" w:firstLine="567"/>
        <w:spacing w:after="120"/>
        <w:rPr>
          <w:highlight w:val="white"/>
        </w:rPr>
      </w:pPr>
      <w:r>
        <w:rPr>
          <w:color w:val="000000" w:themeColor="text1"/>
        </w:rPr>
        <w:t xml:space="preserve">В случае отсутствия в составе заявки Участника справки </w:t>
      </w:r>
      <w:r>
        <w:rPr>
          <w:highlight w:val="white"/>
        </w:rPr>
        <w:t xml:space="preserve">для оценки опыта по созданию и/или внедрению и/или разработке и/или развитию и/или модернизации и/или </w:t>
      </w:r>
      <w:r>
        <w:rPr>
          <w:highlight w:val="white"/>
        </w:rPr>
        <w:t xml:space="preserve">расширению информационных и/или автоматизированных систем управления на базе программного обеспечения, включенного в Единый реестр российских программ для электронных вычислительных машин и баз данных для нужд компаний, имеющих территориально распределенну</w:t>
      </w:r>
      <w:r>
        <w:rPr>
          <w:highlight w:val="white"/>
        </w:rPr>
        <w:t xml:space="preserve">ю сеть филиалов (от 3 филиалов и более)</w:t>
      </w:r>
      <w:r>
        <w:t xml:space="preserve"> </w:t>
      </w:r>
      <w:r>
        <w:rPr>
          <w:color w:val="000000" w:themeColor="text1"/>
        </w:rPr>
        <w:t xml:space="preserve">(форма 6.3) и/или подтверждающих документов (копий договоров и</w:t>
      </w:r>
      <w:r>
        <w:rPr>
          <w:rFonts w:eastAsia="Calibri"/>
          <w:bCs/>
        </w:rPr>
        <w:t xml:space="preserve">/или актов выполненных работ), а также, если в справке указаны договоры, не соответствующие установленным в документации о закупке параметрам, заявке данн</w:t>
      </w:r>
      <w:r>
        <w:rPr>
          <w:rFonts w:eastAsia="Calibri"/>
          <w:bCs/>
        </w:rPr>
        <w:t xml:space="preserve">ого участника по оцениваемому критерию присваивается значение 0 баллов. Отсутствие указанных документов не является основанием для отклонения Заявки участника.</w:t>
      </w:r>
      <w:r>
        <w:rPr>
          <w:rFonts w:eastAsia="Calibri"/>
          <w:bCs/>
          <w:lang w:eastAsia="ar-SA"/>
        </w:rPr>
        <w:t xml:space="preserve"> </w:t>
      </w:r>
      <w:r>
        <w:rPr>
          <w:highlight w:val="white"/>
        </w:rPr>
      </w:r>
    </w:p>
    <w:p>
      <w:pPr>
        <w:ind w:right="33" w:firstLine="709"/>
        <w:spacing w:after="120"/>
        <w:tabs>
          <w:tab w:val="left" w:pos="9498" w:leader="none"/>
        </w:tabs>
        <w:rPr>
          <w:highlight w:val="white"/>
        </w:rPr>
      </w:pPr>
      <w:r>
        <w:rPr>
          <w:highlight w:val="white"/>
          <w:lang w:eastAsia="de-DE"/>
        </w:rPr>
        <w:t xml:space="preserve">Расчет критерия «Опыт выполнения работ» (R</w:t>
      </w:r>
      <w:r>
        <w:rPr>
          <w:highlight w:val="white"/>
          <w:vertAlign w:val="subscript"/>
          <w:lang w:eastAsia="de-DE"/>
        </w:rPr>
        <w:t xml:space="preserve">oi</w:t>
      </w:r>
      <w:r>
        <w:rPr>
          <w:highlight w:val="white"/>
          <w:lang w:eastAsia="de-DE"/>
        </w:rPr>
        <w:t xml:space="preserve">) производится по формуле: </w:t>
      </w:r>
      <w:r>
        <w:rPr>
          <w:highlight w:val="white"/>
        </w:rPr>
      </w:r>
    </w:p>
    <w:p>
      <w:pPr>
        <w:ind w:right="33" w:firstLine="709"/>
        <w:spacing w:after="120"/>
        <w:tabs>
          <w:tab w:val="left" w:pos="9498" w:leader="none"/>
        </w:tabs>
        <w:rPr>
          <w:highlight w:val="white"/>
        </w:rPr>
      </w:pPr>
      <w:r>
        <w:rPr>
          <w:highlight w:val="white"/>
          <w:lang w:eastAsia="de-DE"/>
        </w:rPr>
        <w:t xml:space="preserve">Roi = Roi1 + Roi2</w:t>
      </w:r>
      <w:r>
        <w:rPr>
          <w:highlight w:val="white"/>
        </w:rPr>
      </w:r>
    </w:p>
    <w:p>
      <w:pPr>
        <w:ind w:right="33" w:firstLine="709"/>
        <w:spacing w:after="120"/>
        <w:tabs>
          <w:tab w:val="left" w:pos="9498" w:leader="none"/>
        </w:tabs>
        <w:rPr>
          <w:highlight w:val="white"/>
        </w:rPr>
      </w:pPr>
      <w:r>
        <w:rPr>
          <w:highlight w:val="white"/>
        </w:rPr>
        <w:t xml:space="preserve">Макси</w:t>
      </w:r>
      <w:r>
        <w:rPr>
          <w:highlight w:val="white"/>
        </w:rPr>
        <w:t xml:space="preserve">мальное количество баллов по критерию «Опыт выполнения работ» равно 100.</w:t>
      </w:r>
      <w:r>
        <w:rPr>
          <w:highlight w:val="white"/>
        </w:rPr>
      </w:r>
    </w:p>
    <w:p>
      <w:pPr>
        <w:pStyle w:val="1495"/>
        <w:numPr>
          <w:ilvl w:val="0"/>
          <w:numId w:val="12"/>
        </w:numPr>
        <w:ind w:left="0" w:firstLine="709"/>
        <w:jc w:val="both"/>
        <w:spacing w:after="12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По критерию «Квалификация участника» (R</w:t>
      </w:r>
      <w:r>
        <w:rPr>
          <w:rFonts w:eastAsia="Calibri"/>
          <w:bCs/>
          <w:vertAlign w:val="subscript"/>
          <w:lang w:eastAsia="en-US"/>
        </w:rPr>
        <w:t xml:space="preserve">кi</w:t>
      </w:r>
      <w:r>
        <w:rPr>
          <w:rFonts w:eastAsia="Calibri"/>
          <w:bCs/>
          <w:lang w:eastAsia="en-US"/>
        </w:rPr>
        <w:t xml:space="preserve">) оценка рассчитывается по сумме следующих показателей:</w:t>
      </w:r>
      <w:r>
        <w:rPr>
          <w:rFonts w:eastAsia="Calibri"/>
          <w:bCs/>
          <w:lang w:eastAsia="en-US"/>
        </w:rPr>
      </w:r>
    </w:p>
    <w:p>
      <w:pPr>
        <w:ind w:firstLine="709"/>
        <w:spacing w:after="120"/>
        <w:rPr>
          <w:highlight w:val="white"/>
        </w:rPr>
      </w:pPr>
      <w:r>
        <w:rPr>
          <w:b/>
          <w:bCs/>
          <w:highlight w:val="white"/>
          <w:lang w:val="en-US"/>
        </w:rPr>
        <w:t xml:space="preserve">R</w:t>
      </w:r>
      <w:r>
        <w:rPr>
          <w:b/>
          <w:bCs/>
          <w:highlight w:val="white"/>
        </w:rPr>
        <w:t xml:space="preserve">к</w:t>
      </w:r>
      <w:r>
        <w:rPr>
          <w:b/>
          <w:bCs/>
          <w:highlight w:val="white"/>
          <w:lang w:val="en-US"/>
        </w:rPr>
        <w:t xml:space="preserve">i</w:t>
      </w:r>
      <w:r>
        <w:rPr>
          <w:b/>
          <w:bCs/>
          <w:highlight w:val="white"/>
        </w:rPr>
        <w:t xml:space="preserve">1</w:t>
      </w:r>
      <w:r>
        <w:rPr>
          <w:highlight w:val="white"/>
        </w:rPr>
        <w:t xml:space="preserve"> – наличие у Участника специалистов в области управления проектами с опытом управл</w:t>
      </w:r>
      <w:r>
        <w:rPr>
          <w:highlight w:val="white"/>
        </w:rPr>
        <w:t xml:space="preserve">ения за последние три года не менее чем 2-мя проектами по созданию и/или внедрению и/или разработке и/или развитию и/или модернизации корпоративных информационных и/или автоматизированных систем управления на отечественной </w:t>
      </w:r>
      <w:r>
        <w:rPr>
          <w:highlight w:val="white"/>
        </w:rPr>
        <w:t xml:space="preserve">платформе для компаний электросет</w:t>
      </w:r>
      <w:r>
        <w:rPr>
          <w:highlight w:val="white"/>
        </w:rPr>
        <w:t xml:space="preserve">евого комплекса, имеющих территориально распределенную сеть филиалов (от 3 филиалов и более) в роли «руководителя проектов» или «руководителя программы проектов».  </w:t>
      </w:r>
      <w:r>
        <w:rPr>
          <w:highlight w:val="white"/>
        </w:rPr>
      </w:r>
    </w:p>
    <w:p>
      <w:pPr>
        <w:ind w:firstLine="709"/>
        <w:spacing w:after="120"/>
        <w:rPr>
          <w:highlight w:val="white"/>
        </w:rPr>
      </w:pPr>
      <w:r>
        <w:rPr>
          <w:highlight w:val="white"/>
        </w:rPr>
        <w:t xml:space="preserve">Оценка по показателю   </w:t>
      </w:r>
      <w:r>
        <w:rPr>
          <w:highlight w:val="white"/>
          <w:lang w:val="en-US"/>
        </w:rPr>
        <w:t xml:space="preserve">R</w:t>
      </w:r>
      <w:r>
        <w:rPr>
          <w:highlight w:val="white"/>
        </w:rPr>
        <w:t xml:space="preserve">к</w:t>
      </w:r>
      <w:r>
        <w:rPr>
          <w:highlight w:val="white"/>
          <w:lang w:val="en-US"/>
        </w:rPr>
        <w:t xml:space="preserve">i</w:t>
      </w:r>
      <w:r>
        <w:rPr>
          <w:highlight w:val="white"/>
        </w:rPr>
        <w:t xml:space="preserve">1 выполняется на основании Справки для оценки привлекаемых кадров</w:t>
      </w:r>
      <w:r>
        <w:rPr>
          <w:highlight w:val="white"/>
        </w:rPr>
        <w:t xml:space="preserve">ых ресурсов (Форма 7) и обязательно прилагаемых к ней подтверждающих документов: копий страниц трудовых книжек и/или копий трудовых договоров, или иных документов в соответствии с законодательством РФ, подтверждающих трудовые взаимоотношения, резюме работн</w:t>
      </w:r>
      <w:r>
        <w:rPr>
          <w:highlight w:val="white"/>
        </w:rPr>
        <w:t xml:space="preserve">иков по форме 7.1. Резюме работников, привлекаемых для выполнения работ, заверенных уполномоченным лицом Участника, должно содержать, в том числе информацию о наличии у специалиста требуемого опыта и квалификации. Резюме работников, привлекаемых для выполн</w:t>
      </w:r>
      <w:r>
        <w:rPr>
          <w:highlight w:val="white"/>
        </w:rPr>
        <w:t xml:space="preserve">ения работ, Участник оформляет в соответствии с Формой 7.1.</w:t>
      </w:r>
      <w:r>
        <w:rPr>
          <w:highlight w:val="white"/>
        </w:rPr>
      </w:r>
    </w:p>
    <w:p>
      <w:pPr>
        <w:ind w:firstLine="709"/>
        <w:spacing w:after="0"/>
        <w:rPr>
          <w:highlight w:val="white"/>
        </w:rPr>
      </w:pPr>
      <w:r>
        <w:rPr>
          <w:highlight w:val="white"/>
        </w:rPr>
        <w:t xml:space="preserve">Оценка проводится по следующей шкале:</w:t>
      </w:r>
      <w:r>
        <w:rPr>
          <w:highlight w:val="white"/>
        </w:rPr>
      </w:r>
    </w:p>
    <w:p>
      <w:pPr>
        <w:numPr>
          <w:ilvl w:val="0"/>
          <w:numId w:val="68"/>
        </w:numPr>
        <w:spacing w:after="0"/>
        <w:rPr>
          <w:highlight w:val="white"/>
        </w:rPr>
      </w:pPr>
      <w:r>
        <w:rPr>
          <w:highlight w:val="white"/>
        </w:rPr>
        <w:t xml:space="preserve">0 баллов – при отсутствии требуемых специалистов;</w:t>
      </w:r>
      <w:r>
        <w:rPr>
          <w:highlight w:val="white"/>
        </w:rPr>
      </w:r>
    </w:p>
    <w:p>
      <w:pPr>
        <w:numPr>
          <w:ilvl w:val="0"/>
          <w:numId w:val="68"/>
        </w:numPr>
        <w:spacing w:after="0"/>
        <w:rPr>
          <w:highlight w:val="white"/>
        </w:rPr>
      </w:pPr>
      <w:r>
        <w:rPr>
          <w:highlight w:val="white"/>
        </w:rPr>
        <w:t xml:space="preserve">10 баллов – при наличии 1 требуемого специалиста; </w:t>
      </w:r>
      <w:r>
        <w:rPr>
          <w:highlight w:val="white"/>
        </w:rPr>
      </w:r>
    </w:p>
    <w:p>
      <w:pPr>
        <w:numPr>
          <w:ilvl w:val="0"/>
          <w:numId w:val="68"/>
        </w:numPr>
        <w:spacing w:after="120"/>
        <w:rPr>
          <w:highlight w:val="white"/>
        </w:rPr>
      </w:pPr>
      <w:r>
        <w:rPr>
          <w:highlight w:val="white"/>
        </w:rPr>
        <w:t xml:space="preserve">20 баллов – при наличии 2 и более требуемых специалистов. </w:t>
      </w:r>
      <w:r>
        <w:rPr>
          <w:highlight w:val="white"/>
        </w:rPr>
      </w:r>
    </w:p>
    <w:p>
      <w:pPr>
        <w:ind w:firstLine="709"/>
        <w:spacing w:after="120"/>
        <w:rPr>
          <w:highlight w:val="white"/>
        </w:rPr>
      </w:pPr>
      <w:r>
        <w:rPr>
          <w:highlight w:val="white"/>
        </w:rPr>
        <w:t xml:space="preserve">Максимальное значение показателя </w:t>
      </w:r>
      <w:r>
        <w:rPr>
          <w:b/>
          <w:bCs/>
          <w:highlight w:val="white"/>
          <w:lang w:val="en-US"/>
        </w:rPr>
        <w:t xml:space="preserve">R</w:t>
      </w:r>
      <w:r>
        <w:rPr>
          <w:b/>
          <w:bCs/>
          <w:highlight w:val="white"/>
        </w:rPr>
        <w:t xml:space="preserve">к</w:t>
      </w:r>
      <w:r>
        <w:rPr>
          <w:b/>
          <w:bCs/>
          <w:highlight w:val="white"/>
          <w:lang w:val="en-US"/>
        </w:rPr>
        <w:t xml:space="preserve">i</w:t>
      </w:r>
      <w:r>
        <w:rPr>
          <w:b/>
          <w:bCs/>
          <w:highlight w:val="white"/>
        </w:rPr>
        <w:t xml:space="preserve">1</w:t>
      </w:r>
      <w:r>
        <w:rPr>
          <w:highlight w:val="white"/>
        </w:rPr>
        <w:t xml:space="preserve"> – 20 баллов.</w:t>
      </w:r>
      <w:r>
        <w:rPr>
          <w:highlight w:val="white"/>
        </w:rPr>
      </w:r>
    </w:p>
    <w:p>
      <w:pPr>
        <w:ind w:firstLine="709"/>
        <w:spacing w:after="120"/>
        <w:rPr>
          <w:highlight w:val="white"/>
        </w:rPr>
      </w:pPr>
      <w:r>
        <w:rPr>
          <w:b/>
          <w:bCs/>
          <w:highlight w:val="white"/>
          <w:lang w:val="en-US"/>
        </w:rPr>
        <w:t xml:space="preserve">R</w:t>
      </w:r>
      <w:r>
        <w:rPr>
          <w:b/>
          <w:bCs/>
          <w:highlight w:val="white"/>
        </w:rPr>
        <w:t xml:space="preserve">к</w:t>
      </w:r>
      <w:r>
        <w:rPr>
          <w:b/>
          <w:bCs/>
          <w:highlight w:val="white"/>
          <w:lang w:val="en-US"/>
        </w:rPr>
        <w:t xml:space="preserve">i</w:t>
      </w:r>
      <w:r>
        <w:rPr>
          <w:b/>
          <w:bCs/>
          <w:highlight w:val="white"/>
        </w:rPr>
        <w:t xml:space="preserve">2</w:t>
      </w:r>
      <w:r>
        <w:rPr>
          <w:highlight w:val="white"/>
        </w:rPr>
        <w:t xml:space="preserve"> – наличие у Участника специалистов с опытом участия в роли «консультанта» или «разработчика» за последние три года не менее чем в 2-х проекта</w:t>
      </w:r>
      <w:r>
        <w:rPr>
          <w:highlight w:val="white"/>
        </w:rPr>
        <w:t xml:space="preserve">х по созданию и/или внедрению и/или разработке и/или развитию и/или модернизации информационных систем управления персоналом на отечественной платформе для компаний электросетевого комплекса, имеющих территориально распределенную сеть филиалов (от 3 филиал</w:t>
      </w:r>
      <w:r>
        <w:rPr>
          <w:highlight w:val="white"/>
        </w:rPr>
        <w:t xml:space="preserve">ов и более).</w:t>
      </w:r>
      <w:r>
        <w:rPr>
          <w:highlight w:val="white"/>
        </w:rPr>
      </w:r>
    </w:p>
    <w:p>
      <w:pPr>
        <w:ind w:firstLine="709"/>
        <w:spacing w:after="120"/>
        <w:rPr>
          <w:highlight w:val="white"/>
        </w:rPr>
      </w:pPr>
      <w:r>
        <w:rPr>
          <w:highlight w:val="white"/>
        </w:rPr>
        <w:t xml:space="preserve">Оценка по показателю </w:t>
      </w:r>
      <w:r>
        <w:rPr>
          <w:highlight w:val="white"/>
          <w:lang w:val="en-US"/>
        </w:rPr>
        <w:t xml:space="preserve">R</w:t>
      </w:r>
      <w:r>
        <w:rPr>
          <w:highlight w:val="white"/>
        </w:rPr>
        <w:t xml:space="preserve">к</w:t>
      </w:r>
      <w:r>
        <w:rPr>
          <w:highlight w:val="white"/>
          <w:lang w:val="en-US"/>
        </w:rPr>
        <w:t xml:space="preserve">i</w:t>
      </w:r>
      <w:r>
        <w:rPr>
          <w:highlight w:val="white"/>
        </w:rPr>
        <w:t xml:space="preserve">2 выполняется на основании Справки для оценки привлекаемых кадровых ресурсов (Форма 7) и обязательно прилагаемых к ней подтверждающих документов: копий страниц трудовых книжек и/или копий трудовых договоров, или иных документов в соответствии с законодател</w:t>
      </w:r>
      <w:r>
        <w:rPr>
          <w:highlight w:val="white"/>
        </w:rPr>
        <w:t xml:space="preserve">ьством РФ, подтверждающих трудовые взаимоотношения,  резюме работников по форме 7.1. Резюме работников, привлекаемых для выполнения работ, заверенных уполномоченным лицом Участника, должно содержать, в том числе информацию о наличии у специалиста требуемог</w:t>
      </w:r>
      <w:r>
        <w:rPr>
          <w:highlight w:val="white"/>
        </w:rPr>
        <w:t xml:space="preserve">о опыта и квалификации. Резюме работников, привлекаемых для выполнения работ, Участник оформляет в соответствии с Формой 7.1.</w:t>
      </w:r>
      <w:r>
        <w:rPr>
          <w:highlight w:val="white"/>
        </w:rPr>
      </w:r>
    </w:p>
    <w:p>
      <w:pPr>
        <w:ind w:firstLine="709"/>
        <w:spacing w:after="0"/>
        <w:rPr>
          <w:highlight w:val="white"/>
        </w:rPr>
      </w:pPr>
      <w:r>
        <w:rPr>
          <w:highlight w:val="white"/>
        </w:rPr>
        <w:t xml:space="preserve">Оценка проводится по следующей шкале: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0 баллов – при отсутствии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3 балла - при наличии 1 требуемого специал</w:t>
      </w:r>
      <w:r>
        <w:rPr>
          <w:highlight w:val="white"/>
        </w:rPr>
        <w:t xml:space="preserve">иста;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6 баллов - при наличии 2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9 баллов - при наличии 3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12 баллов - при наличии 4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15 баллов - при наличии 5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18 баллов - при наличии 6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21</w:t>
      </w:r>
      <w:r>
        <w:rPr>
          <w:highlight w:val="white"/>
        </w:rPr>
        <w:t xml:space="preserve"> балл - при наличии 7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24 балла - при наличии 8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27 баллов - при наличии 9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30 баллов - при наличии 10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33 балла - при наличии 11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ind w:left="709" w:hanging="283"/>
        <w:spacing w:after="0"/>
        <w:rPr>
          <w:highlight w:val="white"/>
        </w:rPr>
      </w:pPr>
      <w:r>
        <w:rPr>
          <w:highlight w:val="white"/>
        </w:rPr>
        <w:t xml:space="preserve">36 баллов </w:t>
      </w:r>
      <w:r>
        <w:rPr>
          <w:highlight w:val="white"/>
        </w:rPr>
        <w:t xml:space="preserve">- при наличии 12 требуемых специалистов;</w:t>
      </w:r>
      <w:r>
        <w:rPr>
          <w:highlight w:val="white"/>
        </w:rPr>
      </w:r>
    </w:p>
    <w:p>
      <w:pPr>
        <w:numPr>
          <w:ilvl w:val="0"/>
          <w:numId w:val="69"/>
        </w:numPr>
        <w:contextualSpacing/>
        <w:ind w:left="709" w:hanging="283"/>
        <w:spacing w:after="0" w:line="276" w:lineRule="auto"/>
        <w:rPr>
          <w:highlight w:val="white"/>
        </w:rPr>
      </w:pPr>
      <w:r>
        <w:rPr>
          <w:highlight w:val="white"/>
        </w:rPr>
        <w:t xml:space="preserve">40 баллов – при наличии 13 и более требуемых специалистов.</w:t>
      </w:r>
      <w:r>
        <w:rPr>
          <w:highlight w:val="white"/>
        </w:rPr>
      </w:r>
    </w:p>
    <w:p>
      <w:pPr>
        <w:ind w:left="720"/>
        <w:spacing w:after="120"/>
        <w:rPr>
          <w:highlight w:val="white"/>
        </w:rPr>
      </w:pPr>
      <w:r>
        <w:rPr>
          <w:bCs/>
          <w:highlight w:val="white"/>
        </w:rPr>
        <w:t xml:space="preserve">Максимальное значение показателя </w:t>
      </w:r>
      <w:r>
        <w:rPr>
          <w:b/>
          <w:bCs/>
          <w:color w:val="000000"/>
          <w:highlight w:val="white"/>
          <w:lang w:val="en-US"/>
        </w:rPr>
        <w:t xml:space="preserve">R</w:t>
      </w:r>
      <w:r>
        <w:rPr>
          <w:b/>
          <w:bCs/>
          <w:color w:val="000000"/>
          <w:highlight w:val="white"/>
        </w:rPr>
        <w:t xml:space="preserve">к</w:t>
      </w:r>
      <w:r>
        <w:rPr>
          <w:b/>
          <w:bCs/>
          <w:color w:val="000000"/>
          <w:highlight w:val="white"/>
          <w:lang w:val="en-US"/>
        </w:rPr>
        <w:t xml:space="preserve">i</w:t>
      </w:r>
      <w:r>
        <w:rPr>
          <w:b/>
          <w:bCs/>
          <w:color w:val="000000"/>
          <w:highlight w:val="white"/>
        </w:rPr>
        <w:t xml:space="preserve">2</w:t>
      </w:r>
      <w:r>
        <w:rPr>
          <w:bCs/>
          <w:highlight w:val="white"/>
        </w:rPr>
        <w:t xml:space="preserve"> – 40 баллов.</w:t>
      </w:r>
      <w:r>
        <w:rPr>
          <w:highlight w:val="white"/>
        </w:rPr>
      </w:r>
    </w:p>
    <w:p>
      <w:pPr>
        <w:ind w:firstLine="709"/>
        <w:spacing w:after="120"/>
        <w:rPr>
          <w:highlight w:val="white"/>
        </w:rPr>
      </w:pPr>
      <w:r>
        <w:rPr>
          <w:b/>
          <w:bCs/>
          <w:highlight w:val="white"/>
          <w:lang w:val="en-US"/>
        </w:rPr>
        <w:t xml:space="preserve">R</w:t>
      </w:r>
      <w:r>
        <w:rPr>
          <w:b/>
          <w:bCs/>
          <w:highlight w:val="white"/>
        </w:rPr>
        <w:t xml:space="preserve">к</w:t>
      </w:r>
      <w:r>
        <w:rPr>
          <w:b/>
          <w:bCs/>
          <w:highlight w:val="white"/>
          <w:lang w:val="en-US"/>
        </w:rPr>
        <w:t xml:space="preserve">i</w:t>
      </w:r>
      <w:r>
        <w:rPr>
          <w:b/>
          <w:bCs/>
          <w:highlight w:val="white"/>
        </w:rPr>
        <w:t xml:space="preserve">3</w:t>
      </w:r>
      <w:r>
        <w:rPr>
          <w:highlight w:val="white"/>
        </w:rPr>
        <w:t xml:space="preserve"> – наличие у Участника специалистов в области интеграции со смежными системами с опытом участия за последние три года не менее чем в 2-х проектах проектирования и/или создания и/или внедрения и/или развития и/или модернизации и/или разработки корпоративных</w:t>
      </w:r>
      <w:r>
        <w:rPr>
          <w:highlight w:val="white"/>
        </w:rPr>
        <w:t xml:space="preserve"> информационных и/или автоматизированных систем управления для компаний электросетевого комплекса, имеющих территориально распределенную сеть филиалов (от 3 филиалов и более).</w:t>
      </w:r>
      <w:r>
        <w:rPr>
          <w:highlight w:val="white"/>
        </w:rPr>
      </w:r>
    </w:p>
    <w:p>
      <w:pPr>
        <w:ind w:firstLine="709"/>
        <w:spacing w:after="120"/>
        <w:rPr>
          <w:highlight w:val="white"/>
        </w:rPr>
      </w:pPr>
      <w:r>
        <w:rPr>
          <w:highlight w:val="white"/>
        </w:rPr>
        <w:t xml:space="preserve">Оценка по показателю </w:t>
      </w:r>
      <w:r>
        <w:rPr>
          <w:b/>
          <w:bCs/>
          <w:highlight w:val="white"/>
          <w:lang w:val="en-US"/>
        </w:rPr>
        <w:t xml:space="preserve">R</w:t>
      </w:r>
      <w:r>
        <w:rPr>
          <w:b/>
          <w:bCs/>
          <w:highlight w:val="white"/>
        </w:rPr>
        <w:t xml:space="preserve">к</w:t>
      </w:r>
      <w:r>
        <w:rPr>
          <w:b/>
          <w:bCs/>
          <w:highlight w:val="white"/>
          <w:lang w:val="en-US"/>
        </w:rPr>
        <w:t xml:space="preserve">i</w:t>
      </w:r>
      <w:r>
        <w:rPr>
          <w:b/>
          <w:bCs/>
          <w:highlight w:val="white"/>
        </w:rPr>
        <w:t xml:space="preserve">3</w:t>
      </w:r>
      <w:r>
        <w:rPr>
          <w:highlight w:val="white"/>
        </w:rPr>
        <w:t xml:space="preserve"> выполняется на основании Справки для оценки привлекаем</w:t>
      </w:r>
      <w:r>
        <w:rPr>
          <w:highlight w:val="white"/>
        </w:rPr>
        <w:t xml:space="preserve">ых кадровых ресурсов (Форма 7) и обязательно прилагаемых к ней подтверждающих документов: копий страниц трудовых книжек и/или копий трудовых договоров, или иных документов в соответствии с законодательством РФ, подтверждающих трудовые взаимоотношения, резю</w:t>
      </w:r>
      <w:r>
        <w:rPr>
          <w:highlight w:val="white"/>
        </w:rPr>
        <w:t xml:space="preserve">ме работников по форме 7.1. Резюме работников, привлекаемых для выполнения работ, заверенных уполномоченным лицом Участника, должно содержать, в том числе информацию о наличии у специалиста требуемого опыта и квалификации. Резюме работников, привлекаемых д</w:t>
      </w:r>
      <w:r>
        <w:rPr>
          <w:highlight w:val="white"/>
        </w:rPr>
        <w:t xml:space="preserve">ля выполнения работ, Участник оформляет в соответствии с Формой 7.1.</w:t>
      </w:r>
      <w:r>
        <w:rPr>
          <w:highlight w:val="white"/>
        </w:rPr>
      </w:r>
    </w:p>
    <w:p>
      <w:pPr>
        <w:ind w:firstLine="709"/>
        <w:spacing w:after="0"/>
        <w:rPr>
          <w:highlight w:val="white"/>
        </w:rPr>
      </w:pPr>
      <w:r>
        <w:rPr>
          <w:highlight w:val="white"/>
        </w:rPr>
        <w:t xml:space="preserve">Оценка проводится по следующей шкале:</w:t>
      </w:r>
      <w:r>
        <w:rPr>
          <w:highlight w:val="white"/>
        </w:rPr>
      </w:r>
    </w:p>
    <w:p>
      <w:pPr>
        <w:numPr>
          <w:ilvl w:val="0"/>
          <w:numId w:val="70"/>
        </w:numPr>
        <w:spacing w:after="0"/>
        <w:rPr>
          <w:highlight w:val="white"/>
        </w:rPr>
      </w:pPr>
      <w:r>
        <w:rPr>
          <w:highlight w:val="white"/>
        </w:rPr>
        <w:t xml:space="preserve">0 баллов – при отсутствии требуемых специалистов или консультантов;</w:t>
      </w:r>
      <w:r>
        <w:rPr>
          <w:highlight w:val="white"/>
        </w:rPr>
      </w:r>
    </w:p>
    <w:p>
      <w:pPr>
        <w:numPr>
          <w:ilvl w:val="0"/>
          <w:numId w:val="70"/>
        </w:numPr>
        <w:spacing w:after="0"/>
        <w:rPr>
          <w:highlight w:val="white"/>
        </w:rPr>
      </w:pPr>
      <w:r>
        <w:rPr>
          <w:highlight w:val="white"/>
        </w:rPr>
        <w:t xml:space="preserve">5 баллов – при наличии 1-го требуемого специалиста или консультанта;</w:t>
      </w:r>
      <w:r>
        <w:rPr>
          <w:highlight w:val="white"/>
        </w:rPr>
      </w:r>
    </w:p>
    <w:p>
      <w:pPr>
        <w:numPr>
          <w:ilvl w:val="0"/>
          <w:numId w:val="70"/>
        </w:numPr>
        <w:spacing w:after="120"/>
        <w:rPr>
          <w:highlight w:val="white"/>
        </w:rPr>
      </w:pPr>
      <w:r>
        <w:rPr>
          <w:highlight w:val="white"/>
        </w:rPr>
        <w:t xml:space="preserve">10 баллов – </w:t>
      </w:r>
      <w:r>
        <w:rPr>
          <w:highlight w:val="white"/>
        </w:rPr>
        <w:t xml:space="preserve">при наличии 2-х и более требуемых специалистов или консультантов.</w:t>
      </w:r>
      <w:r>
        <w:rPr>
          <w:highlight w:val="white"/>
        </w:rPr>
      </w:r>
    </w:p>
    <w:p>
      <w:pPr>
        <w:ind w:firstLine="709"/>
        <w:spacing w:after="120"/>
        <w:rPr>
          <w:bCs/>
        </w:rPr>
      </w:pPr>
      <w:r>
        <w:rPr>
          <w:bCs/>
        </w:rPr>
        <w:t xml:space="preserve">Максимальное значение показателя </w:t>
      </w:r>
      <w:r>
        <w:rPr>
          <w:b/>
          <w:bCs/>
          <w:color w:val="000000"/>
          <w:lang w:val="en-US"/>
        </w:rPr>
        <w:t xml:space="preserve">R</w:t>
      </w:r>
      <w:r>
        <w:rPr>
          <w:b/>
          <w:bCs/>
          <w:color w:val="000000"/>
        </w:rPr>
        <w:t xml:space="preserve">к</w:t>
      </w:r>
      <w:r>
        <w:rPr>
          <w:b/>
          <w:bCs/>
          <w:color w:val="000000"/>
          <w:lang w:val="en-US"/>
        </w:rPr>
        <w:t xml:space="preserve">i</w:t>
      </w:r>
      <w:r>
        <w:rPr>
          <w:b/>
          <w:bCs/>
          <w:color w:val="000000"/>
        </w:rPr>
        <w:t xml:space="preserve">3</w:t>
      </w:r>
      <w:r>
        <w:rPr>
          <w:bCs/>
        </w:rPr>
        <w:t xml:space="preserve"> – 10 баллов.</w:t>
      </w:r>
      <w:r>
        <w:rPr>
          <w:bCs/>
        </w:rPr>
      </w:r>
    </w:p>
    <w:p>
      <w:pPr>
        <w:ind w:firstLine="709"/>
        <w:spacing w:after="120"/>
      </w:pPr>
      <w:r>
        <w:rPr>
          <w:b/>
          <w:bCs/>
          <w:color w:val="000000"/>
          <w:lang w:val="en-US"/>
        </w:rPr>
        <w:t xml:space="preserve">R</w:t>
      </w:r>
      <w:r>
        <w:rPr>
          <w:b/>
          <w:bCs/>
          <w:color w:val="000000"/>
        </w:rPr>
        <w:t xml:space="preserve">к</w:t>
      </w:r>
      <w:r>
        <w:rPr>
          <w:b/>
          <w:bCs/>
          <w:color w:val="000000"/>
          <w:lang w:val="en-US"/>
        </w:rPr>
        <w:t xml:space="preserve">i</w:t>
      </w:r>
      <w:r>
        <w:rPr>
          <w:b/>
          <w:bCs/>
          <w:color w:val="000000"/>
        </w:rPr>
        <w:t xml:space="preserve">4</w:t>
      </w:r>
      <w:r>
        <w:rPr>
          <w:b/>
          <w:bCs/>
          <w:i/>
          <w:iCs/>
        </w:rPr>
        <w:t xml:space="preserve"> </w:t>
      </w:r>
      <w:r>
        <w:t xml:space="preserve">– наличие у Участника специалистов, имеющих сертификаты 1С «Специалист-консультант» по прикладному решению «1С:Зарплата и управление персоналом 8»,  с опытом участия за последние 3 (три) года не менее чем в 2-х проектах проектирования и/ или создания или в</w:t>
      </w:r>
      <w:r>
        <w:t xml:space="preserve">недрения или развития или модернизации или разработки корпоративных информационных и/ или автоматизированных систем управления для компаний электросетевого комплекса, имеющих территориально распределенную сеть филиалов (от 3 филиалов и более).</w:t>
      </w:r>
      <w:r/>
    </w:p>
    <w:p>
      <w:pPr>
        <w:ind w:firstLine="709"/>
        <w:spacing w:after="120"/>
      </w:pPr>
      <w:r>
        <w:t xml:space="preserve">Оценка по по</w:t>
      </w:r>
      <w:r>
        <w:t xml:space="preserve">казателю </w:t>
      </w:r>
      <w:r>
        <w:rPr>
          <w:b/>
          <w:bCs/>
          <w:lang w:val="en-US"/>
        </w:rPr>
        <w:t xml:space="preserve">R</w:t>
      </w:r>
      <w:r>
        <w:rPr>
          <w:b/>
          <w:bCs/>
        </w:rPr>
        <w:t xml:space="preserve">к</w:t>
      </w:r>
      <w:r>
        <w:rPr>
          <w:b/>
          <w:bCs/>
          <w:lang w:val="en-US"/>
        </w:rPr>
        <w:t xml:space="preserve">i</w:t>
      </w:r>
      <w:r>
        <w:rPr>
          <w:b/>
          <w:bCs/>
        </w:rPr>
        <w:t xml:space="preserve">4</w:t>
      </w:r>
      <w:r>
        <w:t xml:space="preserve"> выполняется на основании Справки для оценки привлекаемых кадровых ресурсов (Форма 7) и обязательно прилагаемых к ней подтверждающих документов: копий страниц трудовых книжек и/или копий трудовых договоров, или иных документов в соответствии с</w:t>
      </w:r>
      <w:r>
        <w:t xml:space="preserve"> законодательством РФ, подтверждающих трудовые взаимоотношения, копий сертификатов, подтверждающих компетенцию специалистов, резюме работников по форме 7.1. Резюме работников, привлекаемых для выполнения работ, заверенных уполномоченным лицом Участника, до</w:t>
      </w:r>
      <w:r>
        <w:t xml:space="preserve">лжно содержать, в том числе информацию о наличии у специалиста требуемого опыта и квалификации. Резюме работников, привлекаемых для выполнения работ, Участник оформляет в соответствии с Формой 7.1.</w:t>
      </w:r>
      <w:r/>
    </w:p>
    <w:p>
      <w:pPr>
        <w:ind w:firstLine="709"/>
        <w:spacing w:after="0"/>
      </w:pPr>
      <w:r>
        <w:t xml:space="preserve">Оценка проводится по следующей шкале:</w:t>
      </w:r>
      <w:r/>
    </w:p>
    <w:p>
      <w:pPr>
        <w:numPr>
          <w:ilvl w:val="0"/>
          <w:numId w:val="70"/>
        </w:numPr>
        <w:spacing w:after="0"/>
        <w:rPr>
          <w:highlight w:val="white"/>
        </w:rPr>
      </w:pPr>
      <w:r>
        <w:rPr>
          <w:highlight w:val="white"/>
        </w:rPr>
        <w:t xml:space="preserve">0 баллов – при отсут</w:t>
      </w:r>
      <w:r>
        <w:rPr>
          <w:highlight w:val="white"/>
        </w:rPr>
        <w:t xml:space="preserve">ствии требуемых специалистов;</w:t>
      </w:r>
      <w:r>
        <w:rPr>
          <w:highlight w:val="white"/>
        </w:rPr>
      </w:r>
    </w:p>
    <w:p>
      <w:pPr>
        <w:numPr>
          <w:ilvl w:val="0"/>
          <w:numId w:val="70"/>
        </w:numPr>
        <w:ind w:left="714" w:hanging="357"/>
        <w:spacing w:after="120"/>
        <w:rPr>
          <w:highlight w:val="white"/>
        </w:rPr>
      </w:pPr>
      <w:r>
        <w:rPr>
          <w:highlight w:val="white"/>
        </w:rPr>
        <w:t xml:space="preserve">15 баллов – при наличии 1-го и более требуемых специалистов</w:t>
      </w:r>
      <w:r>
        <w:rPr>
          <w:highlight w:val="white"/>
        </w:rPr>
      </w:r>
    </w:p>
    <w:p>
      <w:pPr>
        <w:ind w:firstLine="709"/>
        <w:spacing w:after="120"/>
        <w:rPr>
          <w:bCs/>
        </w:rPr>
      </w:pPr>
      <w:r>
        <w:rPr>
          <w:bCs/>
        </w:rPr>
        <w:t xml:space="preserve">Максимальное значение показателя </w:t>
      </w:r>
      <w:r>
        <w:rPr>
          <w:b/>
          <w:bCs/>
          <w:color w:val="000000"/>
          <w:lang w:val="en-US"/>
        </w:rPr>
        <w:t xml:space="preserve">R</w:t>
      </w:r>
      <w:r>
        <w:rPr>
          <w:b/>
          <w:bCs/>
          <w:color w:val="000000"/>
        </w:rPr>
        <w:t xml:space="preserve">к</w:t>
      </w:r>
      <w:r>
        <w:rPr>
          <w:b/>
          <w:bCs/>
          <w:color w:val="000000"/>
          <w:lang w:val="en-US"/>
        </w:rPr>
        <w:t xml:space="preserve">i</w:t>
      </w:r>
      <w:r>
        <w:rPr>
          <w:b/>
          <w:bCs/>
          <w:color w:val="000000"/>
        </w:rPr>
        <w:t xml:space="preserve">4</w:t>
      </w:r>
      <w:r>
        <w:rPr>
          <w:bCs/>
        </w:rPr>
        <w:t xml:space="preserve"> – 15 баллов.</w:t>
      </w:r>
      <w:r>
        <w:rPr>
          <w:bCs/>
        </w:rPr>
      </w:r>
    </w:p>
    <w:p>
      <w:pPr>
        <w:ind w:firstLine="567"/>
        <w:spacing w:after="120"/>
      </w:pPr>
      <w:r>
        <w:rPr>
          <w:b/>
          <w:bCs/>
          <w:color w:val="000000"/>
          <w:lang w:val="en-US"/>
        </w:rPr>
        <w:t xml:space="preserve">R</w:t>
      </w:r>
      <w:r>
        <w:rPr>
          <w:b/>
          <w:bCs/>
          <w:color w:val="000000"/>
        </w:rPr>
        <w:t xml:space="preserve">к</w:t>
      </w:r>
      <w:r>
        <w:rPr>
          <w:b/>
          <w:bCs/>
          <w:color w:val="000000"/>
          <w:lang w:val="en-US"/>
        </w:rPr>
        <w:t xml:space="preserve">i</w:t>
      </w:r>
      <w:r>
        <w:rPr>
          <w:b/>
          <w:bCs/>
          <w:color w:val="000000"/>
        </w:rPr>
        <w:t xml:space="preserve">5</w:t>
      </w:r>
      <w:r>
        <w:t xml:space="preserve">– наличие у Участника </w:t>
      </w:r>
      <w:bookmarkStart w:id="322" w:name="undefined"/>
      <w:r>
        <w:t xml:space="preserve">дипломированных специалистов, имеющих высшее профессиональное образование по направлению </w:t>
      </w:r>
      <w:r>
        <w:t xml:space="preserve">"Информационная безопасность"</w:t>
      </w:r>
      <w:bookmarkEnd w:id="322"/>
      <w:r>
        <w:t xml:space="preserve"> с опытом участия за последние 3 (три) года в проектах по проектированию и/ или созданию и/или внедрению и/или развитию и/или модернизации и/или разработки и/или расширению функциональности информационных и/ или автоматизирован</w:t>
      </w:r>
      <w:r>
        <w:t xml:space="preserve">ных систем управления в роли консультанта или специалиста по информационной безопасности.</w:t>
      </w:r>
      <w:r/>
    </w:p>
    <w:p>
      <w:pPr>
        <w:ind w:firstLine="709"/>
        <w:spacing w:after="120"/>
      </w:pPr>
      <w:r>
        <w:t xml:space="preserve">Оценка по показателю </w:t>
      </w:r>
      <w:r>
        <w:rPr>
          <w:b/>
          <w:bCs/>
          <w:lang w:val="en-US"/>
        </w:rPr>
        <w:t xml:space="preserve">R</w:t>
      </w:r>
      <w:r>
        <w:rPr>
          <w:b/>
          <w:bCs/>
        </w:rPr>
        <w:t xml:space="preserve">к</w:t>
      </w:r>
      <w:r>
        <w:rPr>
          <w:b/>
          <w:bCs/>
          <w:lang w:val="en-US"/>
        </w:rPr>
        <w:t xml:space="preserve">i</w:t>
      </w:r>
      <w:r>
        <w:rPr>
          <w:b/>
          <w:bCs/>
        </w:rPr>
        <w:t xml:space="preserve">5</w:t>
      </w:r>
      <w:r>
        <w:t xml:space="preserve"> выполняется на основании Справки для оценки привлекаемых кадровых ресурсов (Форма 7) и обязательно прилагаемых к ней подтверждающих документ</w:t>
      </w:r>
      <w:r>
        <w:t xml:space="preserve">ов: копий страниц трудовых книжек и/или копий трудовых договоров, или иных документов в соответствии с законодательством РФ, подтверждающих трудовые взаимоотношения, копий дипломов, подтверждающих компетенцию специалистов, резюме работников по форме 7.1. Р</w:t>
      </w:r>
      <w:r>
        <w:t xml:space="preserve">езюме работников, привлекаемых для выполнения работ, заверенных уполномоченным лицом Участника, должно содержать, в том числе информацию о наличии у специалиста требуемого опыта и квалификации. Резюме работников, привлекаемых для выполнения работ, Участник</w:t>
      </w:r>
      <w:r>
        <w:t xml:space="preserve"> оформляет в соответствии с Формой 7.1.</w:t>
      </w:r>
      <w:r/>
    </w:p>
    <w:p>
      <w:pPr>
        <w:ind w:firstLine="709"/>
        <w:spacing w:after="0"/>
      </w:pPr>
      <w:r>
        <w:t xml:space="preserve">Оценка проводится по следующей шкале:</w:t>
      </w:r>
      <w:r/>
    </w:p>
    <w:p>
      <w:pPr>
        <w:numPr>
          <w:ilvl w:val="0"/>
          <w:numId w:val="71"/>
        </w:numPr>
        <w:ind w:hanging="436"/>
        <w:spacing w:after="0"/>
      </w:pPr>
      <w:r>
        <w:t xml:space="preserve">0 баллов – при отсутствии требуемых специалистов;</w:t>
      </w:r>
      <w:r/>
    </w:p>
    <w:p>
      <w:pPr>
        <w:numPr>
          <w:ilvl w:val="0"/>
          <w:numId w:val="71"/>
        </w:numPr>
        <w:ind w:hanging="436"/>
        <w:spacing w:after="0"/>
      </w:pPr>
      <w:r>
        <w:t xml:space="preserve">5 баллов - при наличии 1-го требуемого специалиста</w:t>
      </w:r>
      <w:r/>
    </w:p>
    <w:p>
      <w:pPr>
        <w:numPr>
          <w:ilvl w:val="0"/>
          <w:numId w:val="71"/>
        </w:numPr>
        <w:ind w:hanging="436"/>
        <w:spacing w:after="0"/>
      </w:pPr>
      <w:r>
        <w:t xml:space="preserve">10 баллов – при наличии 2-х требуемых специалистов;</w:t>
      </w:r>
      <w:r/>
    </w:p>
    <w:p>
      <w:pPr>
        <w:numPr>
          <w:ilvl w:val="0"/>
          <w:numId w:val="71"/>
        </w:numPr>
        <w:ind w:left="721" w:hanging="437"/>
        <w:spacing w:after="120"/>
      </w:pPr>
      <w:r>
        <w:t xml:space="preserve">15 баллов – при наличии 3-х и более требуемых специалистов.</w:t>
      </w:r>
      <w:r/>
    </w:p>
    <w:p>
      <w:pPr>
        <w:ind w:firstLine="709"/>
        <w:spacing w:before="120"/>
        <w:rPr>
          <w:bCs/>
        </w:rPr>
      </w:pPr>
      <w:r>
        <w:rPr>
          <w:bCs/>
        </w:rPr>
        <w:t xml:space="preserve">Максимальное значение показателя </w:t>
      </w:r>
      <w:r>
        <w:rPr>
          <w:b/>
          <w:bCs/>
          <w:color w:val="000000"/>
          <w:lang w:val="en-US"/>
        </w:rPr>
        <w:t xml:space="preserve">R</w:t>
      </w:r>
      <w:r>
        <w:rPr>
          <w:b/>
          <w:bCs/>
          <w:color w:val="000000"/>
        </w:rPr>
        <w:t xml:space="preserve">к</w:t>
      </w:r>
      <w:r>
        <w:rPr>
          <w:b/>
          <w:bCs/>
          <w:color w:val="000000"/>
          <w:lang w:val="en-US"/>
        </w:rPr>
        <w:t xml:space="preserve">i</w:t>
      </w:r>
      <w:r>
        <w:rPr>
          <w:b/>
          <w:bCs/>
          <w:color w:val="000000"/>
        </w:rPr>
        <w:t xml:space="preserve">5</w:t>
      </w:r>
      <w:r>
        <w:rPr>
          <w:bCs/>
        </w:rPr>
        <w:t xml:space="preserve"> – 15 баллов.</w:t>
      </w:r>
      <w:r>
        <w:rPr>
          <w:bCs/>
        </w:rPr>
      </w:r>
    </w:p>
    <w:p>
      <w:pPr>
        <w:ind w:firstLine="709"/>
        <w:spacing w:after="120"/>
        <w:rPr>
          <w:highlight w:val="white"/>
        </w:rPr>
      </w:pPr>
      <w:r>
        <w:rPr>
          <w:highlight w:val="white"/>
        </w:rPr>
        <w:t xml:space="preserve">К оценке по показателям критерия «Квалификация Участника принимаются кадровые ресурсы Участника. Наличие кадровых ресурсов подтверждается предост</w:t>
      </w:r>
      <w:r>
        <w:rPr>
          <w:highlight w:val="white"/>
        </w:rPr>
        <w:t xml:space="preserve">авлением в составе заявки заверенных отделом кадров копий страниц трудовых книжек и/или выписки из штатного расписания, и/или копий трудовых договоров, и/или копий договоров гражданско-правового характера или иных документов в соответствии с законодательст</w:t>
      </w:r>
      <w:r>
        <w:rPr>
          <w:highlight w:val="white"/>
        </w:rPr>
        <w:t xml:space="preserve">вом РФ, подтверждающих взаимоотношения.</w:t>
      </w:r>
      <w:r>
        <w:rPr>
          <w:highlight w:val="white"/>
        </w:rPr>
      </w:r>
    </w:p>
    <w:p>
      <w:pPr>
        <w:ind w:firstLine="709"/>
        <w:rPr>
          <w:highlight w:val="white"/>
        </w:rPr>
      </w:pPr>
      <w:r>
        <w:rPr>
          <w:highlight w:val="white"/>
          <w:lang w:eastAsia="de-DE"/>
        </w:rPr>
        <w:t xml:space="preserve">Расчет критерия «Квалификация Участника» </w:t>
      </w:r>
      <w:r>
        <w:rPr>
          <w:b/>
          <w:highlight w:val="white"/>
          <w:lang w:eastAsia="de-DE"/>
        </w:rPr>
        <w:t xml:space="preserve">(</w:t>
      </w:r>
      <w:r>
        <w:rPr>
          <w:b/>
          <w:highlight w:val="white"/>
          <w:lang w:val="en-US" w:eastAsia="de-DE"/>
        </w:rPr>
        <w:t xml:space="preserve">R</w:t>
      </w:r>
      <w:r>
        <w:rPr>
          <w:b/>
          <w:highlight w:val="white"/>
          <w:lang w:eastAsia="de-DE"/>
        </w:rPr>
        <w:t xml:space="preserve">к</w:t>
      </w:r>
      <w:r>
        <w:rPr>
          <w:b/>
          <w:highlight w:val="white"/>
          <w:lang w:val="en-US" w:eastAsia="de-DE"/>
        </w:rPr>
        <w:t xml:space="preserve">i</w:t>
      </w:r>
      <w:r>
        <w:rPr>
          <w:highlight w:val="white"/>
          <w:lang w:eastAsia="de-DE"/>
        </w:rPr>
        <w:t xml:space="preserve">) производится по формуле: </w:t>
      </w:r>
      <w:r>
        <w:rPr>
          <w:highlight w:val="white"/>
        </w:rPr>
      </w:r>
    </w:p>
    <w:p>
      <w:pPr>
        <w:ind w:firstLine="709"/>
        <w:spacing w:after="120"/>
      </w:pPr>
      <w:r>
        <w:rPr>
          <w:lang w:val="en-US" w:eastAsia="de-DE"/>
        </w:rPr>
        <w:t xml:space="preserve">R</w:t>
      </w:r>
      <w:r>
        <w:rPr>
          <w:lang w:eastAsia="de-DE"/>
        </w:rPr>
        <w:t xml:space="preserve">кi = </w:t>
      </w:r>
      <w:r>
        <w:rPr>
          <w:color w:val="000000"/>
          <w:lang w:val="en-US"/>
        </w:rPr>
        <w:t xml:space="preserve">R</w:t>
      </w:r>
      <w:r>
        <w:rPr>
          <w:color w:val="000000"/>
        </w:rPr>
        <w:t xml:space="preserve">к</w:t>
      </w:r>
      <w:r>
        <w:rPr>
          <w:color w:val="000000"/>
          <w:lang w:val="en-US"/>
        </w:rPr>
        <w:t xml:space="preserve">i</w:t>
      </w:r>
      <w:r>
        <w:rPr>
          <w:color w:val="000000"/>
        </w:rPr>
        <w:t xml:space="preserve">1 + </w:t>
      </w:r>
      <w:r>
        <w:rPr>
          <w:color w:val="000000"/>
          <w:lang w:val="en-US"/>
        </w:rPr>
        <w:t xml:space="preserve">R</w:t>
      </w:r>
      <w:r>
        <w:rPr>
          <w:color w:val="000000"/>
        </w:rPr>
        <w:t xml:space="preserve">к</w:t>
      </w:r>
      <w:r>
        <w:rPr>
          <w:color w:val="000000"/>
          <w:lang w:val="en-US"/>
        </w:rPr>
        <w:t xml:space="preserve">i</w:t>
      </w:r>
      <w:r>
        <w:rPr>
          <w:color w:val="000000"/>
        </w:rPr>
        <w:t xml:space="preserve">2+.....</w:t>
      </w:r>
      <w:r>
        <w:rPr>
          <w:color w:val="000000"/>
          <w:lang w:val="en-US"/>
        </w:rPr>
        <w:t xml:space="preserve">R</w:t>
      </w:r>
      <w:r>
        <w:rPr>
          <w:color w:val="000000"/>
        </w:rPr>
        <w:t xml:space="preserve">к</w:t>
      </w:r>
      <w:r>
        <w:rPr>
          <w:color w:val="000000"/>
          <w:lang w:val="en-US"/>
        </w:rPr>
        <w:t xml:space="preserve">i</w:t>
      </w:r>
      <w:r>
        <w:rPr>
          <w:color w:val="000000"/>
        </w:rPr>
        <w:t xml:space="preserve">5</w:t>
      </w:r>
      <w:r/>
    </w:p>
    <w:p>
      <w:pPr>
        <w:ind w:firstLine="709"/>
        <w:rPr>
          <w:highlight w:val="white"/>
        </w:rPr>
      </w:pPr>
      <w:r>
        <w:rPr>
          <w:highlight w:val="white"/>
        </w:rPr>
        <w:t xml:space="preserve">Максимальное количество баллов по критерию «Квалификация Участника» равно 100.</w:t>
      </w:r>
      <w:r>
        <w:rPr>
          <w:highlight w:val="white"/>
        </w:rPr>
      </w:r>
    </w:p>
    <w:p>
      <w:pPr>
        <w:ind w:firstLine="709"/>
        <w:rPr>
          <w:highlight w:val="white"/>
        </w:rPr>
      </w:pPr>
      <w:r>
        <w:rPr>
          <w:highlight w:val="white"/>
        </w:rPr>
        <w:t xml:space="preserve">В случае отсутствия в составе заявки Участника Справки для оценки привлекаемых кадровых ресурсов (Форма 7) и/или резюме работника (Форма 7.1) и/или копий дипломов/сертификатов и</w:t>
      </w:r>
      <w:r>
        <w:rPr>
          <w:highlight w:val="white"/>
        </w:rPr>
        <w:t xml:space="preserve">/или подтверждающих документов (заверенных отделом кадров копий страниц трудовых книжек и /или выписки из штатного расписания, и/или копий трудовых договоров, и/или копий договоров гражданско-правового характера или иных документов в соответствии с законод</w:t>
      </w:r>
      <w:r>
        <w:rPr>
          <w:highlight w:val="white"/>
        </w:rPr>
        <w:t xml:space="preserve">ательством РФ, подтверждающих взаимоотношения), а так же иных документов, указанных в п 5. приложения 1 к части II «ИНФОРМАЦИОННАЯ КАРТА ЗАКУПКИ, Комиссия присуждает минимальную промежуточную оценку (0 баллов). Отсутствие указанных документов не является о</w:t>
      </w:r>
      <w:r>
        <w:rPr>
          <w:highlight w:val="white"/>
        </w:rPr>
        <w:t xml:space="preserve">снованием для отклонения Заявки участника. </w:t>
      </w:r>
      <w:r>
        <w:rPr>
          <w:highlight w:val="white"/>
        </w:rPr>
      </w:r>
    </w:p>
    <w:p>
      <w:pPr>
        <w:pStyle w:val="1495"/>
        <w:contextualSpacing/>
        <w:ind w:left="567" w:right="33"/>
        <w:jc w:val="both"/>
        <w:spacing w:after="120"/>
        <w:shd w:val="clear" w:color="auto" w:fill="ffffff"/>
        <w:tabs>
          <w:tab w:val="left" w:pos="0" w:leader="none"/>
        </w:tabs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1495"/>
        <w:contextualSpacing/>
        <w:ind w:left="567" w:right="33"/>
        <w:jc w:val="both"/>
        <w:spacing w:after="120"/>
        <w:shd w:val="clear" w:color="auto" w:fill="ffffff"/>
        <w:tabs>
          <w:tab w:val="left" w:pos="0" w:leader="none"/>
        </w:tabs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left"/>
        <w:spacing w:after="0"/>
        <w:rPr>
          <w:b/>
          <w:bCs/>
          <w:sz w:val="30"/>
          <w:szCs w:val="30"/>
        </w:rPr>
      </w:pPr>
      <w:r>
        <w:br w:type="page" w:clear="all"/>
      </w:r>
      <w:r>
        <w:rPr>
          <w:b/>
          <w:bCs/>
          <w:sz w:val="30"/>
          <w:szCs w:val="30"/>
        </w:rPr>
      </w:r>
    </w:p>
    <w:p>
      <w:pPr>
        <w:pStyle w:val="1115"/>
        <w:jc w:val="right"/>
      </w:pPr>
      <w:r/>
      <w:bookmarkStart w:id="323" w:name="_Toc243045078"/>
      <w:r>
        <w:t xml:space="preserve">Приложение № 2</w:t>
      </w:r>
      <w:bookmarkEnd w:id="323"/>
      <w:r>
        <w:t xml:space="preserve"> </w:t>
      </w:r>
      <w:r/>
    </w:p>
    <w:p>
      <w:pPr>
        <w:jc w:val="right"/>
        <w:rPr>
          <w:b/>
        </w:rPr>
      </w:pPr>
      <w:r>
        <w:rPr>
          <w:b/>
        </w:rPr>
        <w:t xml:space="preserve">к части II «ИНФОРМАЦИОННАЯ КАРТА ЗАКУПКИ» </w:t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  <w:t xml:space="preserve">Требования к сведениям и документам, представляемым в составе заявки участника закупки</w:t>
      </w:r>
      <w:r>
        <w:rPr>
          <w:b/>
        </w:rPr>
      </w:r>
    </w:p>
    <w:p>
      <w:pPr>
        <w:jc w:val="center"/>
        <w:spacing w:after="0"/>
        <w:rPr>
          <w:b/>
        </w:rPr>
      </w:pPr>
      <w:r>
        <w:rPr>
          <w:b/>
        </w:rPr>
      </w:r>
      <w:r>
        <w:rPr>
          <w:b/>
        </w:rPr>
      </w:r>
    </w:p>
    <w:p>
      <w:pPr>
        <w:jc w:val="left"/>
        <w:spacing w:after="0"/>
      </w:pPr>
      <w:r/>
      <w:r/>
    </w:p>
    <w:p>
      <w:pPr>
        <w:pStyle w:val="1523"/>
        <w:ind w:firstLine="709"/>
        <w:jc w:val="both"/>
        <w:widowControl w:val="off"/>
        <w:rPr>
          <w:rFonts w:ascii="Times New Roman" w:hAnsi="Times New Roman" w:cs="Times New Roman"/>
          <w:b w:val="0"/>
          <w:color w:val="auto"/>
          <w:sz w:val="24"/>
          <w:szCs w:val="24"/>
        </w:rPr>
        <w:framePr w:hSpace="180" w:wrap="around" w:vAnchor="text" w:hAnchor="text" w:xAlign="center" w:y="1"/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В целях подтверждения соответствия установленным требованиям, участник закупки должен включить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 состав заявки следующие сведения и документы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: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</w:r>
    </w:p>
    <w:p>
      <w:pPr>
        <w:pStyle w:val="1524"/>
        <w:numPr>
          <w:ilvl w:val="0"/>
          <w:numId w:val="25"/>
        </w:numPr>
        <w:ind w:left="0" w:firstLine="709"/>
        <w:spacing w:after="120"/>
        <w:tabs>
          <w:tab w:val="left" w:pos="0" w:leader="none"/>
          <w:tab w:val="left" w:pos="1276" w:leader="none"/>
        </w:tabs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Обязательные документы:</w:t>
      </w:r>
      <w:r>
        <w:rPr>
          <w:b/>
          <w:szCs w:val="24"/>
          <w:u w:val="single"/>
        </w:rPr>
      </w:r>
    </w:p>
    <w:p>
      <w:pPr>
        <w:pStyle w:val="1524"/>
        <w:numPr>
          <w:ilvl w:val="1"/>
          <w:numId w:val="25"/>
        </w:numPr>
        <w:ind w:left="1276" w:hanging="571"/>
        <w:spacing w:after="120"/>
        <w:tabs>
          <w:tab w:val="left" w:pos="0" w:leader="none"/>
          <w:tab w:val="left" w:pos="1276" w:leader="none"/>
        </w:tabs>
        <w:rPr>
          <w:b/>
          <w:szCs w:val="24"/>
          <w:u w:val="single"/>
        </w:rPr>
      </w:pPr>
      <w:r>
        <w:rPr>
          <w:b/>
          <w:szCs w:val="24"/>
        </w:rPr>
        <w:t xml:space="preserve">Перечень форм для заполнения участниками:</w:t>
      </w:r>
      <w:r>
        <w:rPr>
          <w:b/>
          <w:szCs w:val="24"/>
          <w:u w:val="single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письмо о подаче оферты по форме и в соответстви</w:t>
      </w:r>
      <w:r>
        <w:rPr>
          <w:szCs w:val="24"/>
        </w:rPr>
        <w:t xml:space="preserve">и с инструкциями, приведенными в настоящей документации о закупке (часть </w:t>
      </w:r>
      <w:r>
        <w:rPr>
          <w:szCs w:val="24"/>
          <w:lang w:val="en-US"/>
        </w:rPr>
        <w:t xml:space="preserve">III</w:t>
      </w:r>
      <w:r>
        <w:rPr>
          <w:szCs w:val="24"/>
        </w:rPr>
        <w:t xml:space="preserve"> «ОБРАЗЦЫ ФОРМ ДЛЯ ЗАПОЛНЕНИЯ УЧАСТНИКАМИ ЗАКУПКИ», форма 1);</w:t>
      </w:r>
      <w:r>
        <w:rPr>
          <w:szCs w:val="24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техническое предложение по форме и в соответствии с инструкциями, приведенными в настоящей документации о закупке (час</w:t>
      </w:r>
      <w:r>
        <w:rPr>
          <w:szCs w:val="24"/>
        </w:rPr>
        <w:t xml:space="preserve">ть III «ОБРАЗЦЫ ФОРМ ДЛЯ ЗАПОЛНЕНИЯ УЧАСТНИКАМИ ЗАКУПКИ», форма 2) с приложением файла технического предложения, выполненного в формате MS Word;</w:t>
      </w:r>
      <w:r>
        <w:rPr>
          <w:szCs w:val="24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график выполнения работ по форме и в соответствии с инструкциями, приведенными в настоящей документации о закуп</w:t>
      </w:r>
      <w:r>
        <w:rPr>
          <w:szCs w:val="24"/>
        </w:rPr>
        <w:t xml:space="preserve">ке (часть III «ОБРАЗЦЫ ФОРМ ДЛЯ ЗАПОЛНЕНИЯ УЧАСТНИКАМИ ЗАКУПКИ», форма 3);</w:t>
      </w:r>
      <w:r>
        <w:rPr>
          <w:szCs w:val="24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t xml:space="preserve">сводная таблица стоимости по форме и в соответствии с инструкциями, приведенными в настоящей документации о закупке (часть III «ОБРАЗЦЫ ФОРМ ДЛЯ ЗАПОЛНЕНИЯ УЧАСТНИКАМИ ЗАКУПКИ», фор</w:t>
      </w:r>
      <w:r>
        <w:t xml:space="preserve">ма 4) с приложением файла Сводной таблицы стоимости, выполненным в формате MS Excel;</w:t>
      </w:r>
      <w:r>
        <w:rPr>
          <w:szCs w:val="24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lang w:bidi="ru-RU"/>
        </w:rPr>
      </w:pPr>
      <w:r>
        <w:rPr>
          <w:lang w:bidi="ru-RU"/>
        </w:rPr>
        <w:t xml:space="preserve">справка о наличии опыта выполнения работ по созданию и/или внедрению и/или доработке и/или развитию и/или модернизации автоматизированной системы управления персонал</w:t>
      </w:r>
      <w:r>
        <w:rPr>
          <w:lang w:bidi="ru-RU"/>
        </w:rPr>
        <w:t xml:space="preserve">ом (включая процесс расчета заработной платы) для нужд компании, являющейся субъектом критической информационной инфраструктуры, за последние три года (часть III «ОБРАЗЦЫ ФОРМ ДЛЯ ЗАПОЛНЕНИЯ УЧАСТНИКАМИ ЗАКУПКИ», форма 6.1), с содержанием, соответствующим </w:t>
      </w:r>
      <w:r>
        <w:rPr>
          <w:lang w:bidi="ru-RU"/>
        </w:rPr>
        <w:t xml:space="preserve">пп. с) п. 9 части II «ИНФОРМАЦИОННАЯ КАРТА ЗАКУПКИ» с приложением копии контракта (договора) (включая приложения), копии актов приёмки выполненных работ;</w:t>
      </w:r>
      <w:r>
        <w:rPr>
          <w:lang w:bidi="ru-RU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оригинал независимой гарантии (Предоставляется в случае, если Участник в качестве финансового обеспече</w:t>
      </w:r>
      <w:r>
        <w:rPr>
          <w:szCs w:val="24"/>
        </w:rPr>
        <w:t xml:space="preserve">ния участия в закупке выбрал независимую гарантию) (часть III «ОБРАЗЦЫ ФОРМ ДЛЯ ЗАПОЛНЕНИЯ УЧАСТНИКАМИ ЗАКУПКИ», форма 8) с приложением:</w:t>
      </w:r>
      <w:r>
        <w:rPr>
          <w:szCs w:val="24"/>
        </w:rPr>
      </w:r>
    </w:p>
    <w:p>
      <w:pPr>
        <w:pStyle w:val="1524"/>
        <w:numPr>
          <w:ilvl w:val="0"/>
          <w:numId w:val="37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решения (выписки из протокола) уполномоченного органа управления гаранта о назначении (избрании) единоличного исполните</w:t>
      </w:r>
      <w:r>
        <w:rPr>
          <w:szCs w:val="24"/>
        </w:rPr>
        <w:t xml:space="preserve">льного органа гаранта (копия, заверенная гарантом);</w:t>
      </w:r>
      <w:r>
        <w:rPr>
          <w:szCs w:val="24"/>
        </w:rPr>
      </w:r>
    </w:p>
    <w:p>
      <w:pPr>
        <w:pStyle w:val="1524"/>
        <w:numPr>
          <w:ilvl w:val="0"/>
          <w:numId w:val="37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доверенности на уполномоченное лицо, действующее от имени гаранта (оригинала / нотариально заверенной копии/копии, заверенной гарантом) (в случае если независимая гарантия подписана уполномоченным лицом, </w:t>
      </w:r>
      <w:r>
        <w:rPr>
          <w:szCs w:val="24"/>
        </w:rPr>
        <w:t xml:space="preserve">действующим от имени гаранта на основании доверенности). К доверенности, выданной в порядке передоверия, должна прилагаться доверенность на уполномоченное лицо, выдавшее доверенность в порядке передоверия (оригинал / нотариально заверенная копия / копия, з</w:t>
      </w:r>
      <w:r>
        <w:rPr>
          <w:szCs w:val="24"/>
        </w:rPr>
        <w:t xml:space="preserve">аверенная гарантом). В случае если в доверенности на право подписи независимой гарантии имеются ограничения </w:t>
      </w:r>
      <w:r>
        <w:rPr>
          <w:szCs w:val="24"/>
        </w:rPr>
        <w:t xml:space="preserve">(подписание независимой гарантии осуществляется в рамках внутренних нормативных документов Гаранта, решений кредитных комитетов, структурных подразд</w:t>
      </w:r>
      <w:r>
        <w:rPr>
          <w:szCs w:val="24"/>
        </w:rPr>
        <w:t xml:space="preserve">елений или должностных лиц Гаранта), необходимо представление всех поименованных в доверенности решений или, в случае отказа Гаранта от предоставления данных документов, письма от уполномоченного лица Гаранта, что предоставление данной независимой гарантии</w:t>
      </w:r>
      <w:r>
        <w:rPr>
          <w:szCs w:val="24"/>
        </w:rPr>
        <w:t xml:space="preserve"> осуществляется в соответствии с решениями, перечисленными в доверенности.</w:t>
      </w:r>
      <w:r>
        <w:rPr>
          <w:szCs w:val="24"/>
        </w:rPr>
      </w:r>
    </w:p>
    <w:p>
      <w:pPr>
        <w:pStyle w:val="1524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t xml:space="preserve">Допускается предоставление указанных документов в форме электронного документа или в форме электронных образов бумажных документов, подписанных усиленной квалифицированной электронн</w:t>
      </w:r>
      <w:r>
        <w:t xml:space="preserve">ой подписью (УКЭП) уполномоченного лица гаранта, с соблюдением требований к составу и форме документов, предоставляемых вместе с независимой гарантией.</w:t>
      </w:r>
      <w:r>
        <w:rPr>
          <w:szCs w:val="24"/>
        </w:rPr>
      </w:r>
    </w:p>
    <w:p>
      <w:pPr>
        <w:pStyle w:val="1524"/>
        <w:numPr>
          <w:ilvl w:val="0"/>
          <w:numId w:val="33"/>
        </w:numPr>
        <w:ind w:left="0" w:firstLine="567"/>
        <w:spacing w:after="120"/>
        <w:tabs>
          <w:tab w:val="left" w:pos="0" w:leader="none"/>
          <w:tab w:val="left" w:pos="1276" w:leader="none"/>
        </w:tabs>
        <w:rPr>
          <w:szCs w:val="24"/>
        </w:rPr>
      </w:pPr>
      <w:r>
        <w:rPr>
          <w:szCs w:val="24"/>
        </w:rPr>
        <w:t xml:space="preserve">декларация соответствия (часть III «ОБРАЗЦЫ ФОРМ ДЛЯ ЗАПОЛНЕНИЯ УЧАСТНИКАМИ ЗАКУПКИ», форма 10);</w:t>
      </w:r>
      <w:r>
        <w:rPr>
          <w:szCs w:val="24"/>
        </w:rPr>
      </w:r>
    </w:p>
    <w:p>
      <w:pPr>
        <w:pStyle w:val="1524"/>
        <w:numPr>
          <w:ilvl w:val="1"/>
          <w:numId w:val="25"/>
        </w:numPr>
        <w:ind w:left="1418" w:hanging="851"/>
        <w:spacing w:after="120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Докумен</w:t>
      </w:r>
      <w:r>
        <w:rPr>
          <w:b/>
          <w:szCs w:val="24"/>
          <w:u w:val="single"/>
        </w:rPr>
        <w:t xml:space="preserve">ты, подтверждающие правоспособность:</w:t>
      </w:r>
      <w:r>
        <w:rPr>
          <w:b/>
          <w:szCs w:val="24"/>
          <w:u w:val="single"/>
        </w:rPr>
      </w:r>
    </w:p>
    <w:p>
      <w:pPr>
        <w:pStyle w:val="1524"/>
        <w:spacing w:after="120"/>
        <w:tabs>
          <w:tab w:val="num" w:pos="1560" w:leader="none"/>
        </w:tabs>
        <w:rPr>
          <w:szCs w:val="24"/>
        </w:rPr>
      </w:pPr>
      <w:r/>
      <w:bookmarkStart w:id="324" w:name="_Ref303620062"/>
      <w:r>
        <w:rPr>
          <w:b/>
          <w:szCs w:val="24"/>
        </w:rPr>
        <w:t xml:space="preserve">Для юридических лиц и индивидуальных предпринимателей</w:t>
      </w:r>
      <w:r>
        <w:rPr>
          <w:szCs w:val="24"/>
        </w:rPr>
        <w:t xml:space="preserve">, если в каждом из пунктов не установлено иное:</w:t>
      </w:r>
      <w:bookmarkEnd w:id="324"/>
      <w:r/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rPr>
          <w:szCs w:val="24"/>
        </w:rPr>
        <w:t xml:space="preserve">копия выписки из Устава общества в действующей редакции, содержащей информацию касательно полномочий Директора, заверенную участником;</w:t>
      </w:r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rPr>
          <w:szCs w:val="24"/>
        </w:rPr>
        <w:t xml:space="preserve">копия выписки из Единого государственного реестра юридических лиц (аналогичного документа для индивидуальных предпринимат</w:t>
      </w:r>
      <w:r>
        <w:rPr>
          <w:szCs w:val="24"/>
        </w:rPr>
        <w:t xml:space="preserve">елей) с указанием сведений, что Участник не находится в состоянии реорганизации или ликвидации, выданной соответствующим подразделением Федеральной налоговой службы не ранее чем за 30 дней до дня окончания срока подачи заявок, установленного в первоначальн</w:t>
      </w:r>
      <w:r>
        <w:rPr>
          <w:szCs w:val="24"/>
        </w:rPr>
        <w:t xml:space="preserve">ом извещении о закупке;</w:t>
      </w:r>
      <w:r>
        <w:rPr>
          <w:szCs w:val="24"/>
        </w:rPr>
      </w:r>
    </w:p>
    <w:p>
      <w:pPr>
        <w:pStyle w:val="1524"/>
        <w:spacing w:after="120"/>
        <w:rPr>
          <w:szCs w:val="24"/>
        </w:rPr>
      </w:pPr>
      <w:r>
        <w:rPr>
          <w:szCs w:val="24"/>
        </w:rPr>
        <w:t xml:space="preserve"> Выписка может быть представлена в форме электронного документа, подписанного усиленной квалифицированной электронной подписью налогового органа;</w:t>
      </w:r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t xml:space="preserve">если заявка в форме электронного документа подписана усиленной квалифицированной элект</w:t>
      </w:r>
      <w:r>
        <w:t xml:space="preserve">ронной подписью лица, </w:t>
      </w:r>
      <w:r>
        <w:rPr>
          <w:szCs w:val="24"/>
        </w:rPr>
        <w:t xml:space="preserve">имеющего право в соответствии с законодательством Российской Федерации действовать от лица Участника закупки без доверенности,</w:t>
      </w:r>
      <w:r>
        <w:t xml:space="preserve"> в состав заявки прикладываются </w:t>
      </w:r>
      <w:r>
        <w:rPr>
          <w:szCs w:val="24"/>
        </w:rPr>
        <w:t xml:space="preserve">копии документов о назначении руководителя. В случае, если заявка подписана </w:t>
      </w:r>
      <w:r>
        <w:rPr>
          <w:szCs w:val="24"/>
        </w:rPr>
        <w:t xml:space="preserve">на основании </w:t>
      </w:r>
      <w:r>
        <w:t xml:space="preserve">доверенности, в составе заявки должна быть представлена доверенность, подтверждающая полномочия лица, подписавшего заявку. К доверенности, выданной в порядке передоверия, должна прилагаться доверенность на уполномоченное лицо, имеющего право в</w:t>
      </w:r>
      <w:r>
        <w:t xml:space="preserve">ыдавать доверенность в порядке передоверия</w:t>
      </w:r>
      <w:r>
        <w:rPr>
          <w:szCs w:val="24"/>
        </w:rPr>
        <w:t xml:space="preserve">;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г).</w:t>
      </w:r>
      <w:r>
        <w:rPr>
          <w:szCs w:val="24"/>
        </w:rPr>
        <w:tab/>
        <w:t xml:space="preserve">анкета в формате Excel с приложением справки о цепочке собственников* участника закупочной процедуры, включая бенефициаров (в том числе конечных) в формате Excel, по установленной в настоящей документации о з</w:t>
      </w:r>
      <w:r>
        <w:rPr>
          <w:szCs w:val="24"/>
        </w:rPr>
        <w:t xml:space="preserve">акупке форме (часть III «ОБРАЗЦЫ ФОРМ ДЛЯ ЗАПОЛНЕНИЯ УЧАСТНИКАМИ ЗАКУПКИ», форма 5.1, форма 5.2), с приложением подтверждающих представленной в справке о цепочке собственников документов, в зависимости от его организационно-правовой формы Участника:</w:t>
      </w:r>
      <w:r>
        <w:rPr>
          <w:szCs w:val="24"/>
        </w:rPr>
      </w:r>
    </w:p>
    <w:p>
      <w:pPr>
        <w:pStyle w:val="1524"/>
        <w:numPr>
          <w:ilvl w:val="0"/>
          <w:numId w:val="67"/>
        </w:numPr>
        <w:spacing w:after="120"/>
        <w:tabs>
          <w:tab w:val="left" w:pos="1418" w:leader="none"/>
        </w:tabs>
        <w:rPr>
          <w:b/>
          <w:bCs w:val="0"/>
          <w:szCs w:val="24"/>
        </w:rPr>
      </w:pPr>
      <w:r>
        <w:rPr>
          <w:b/>
          <w:bCs w:val="0"/>
          <w:szCs w:val="24"/>
        </w:rPr>
        <w:t xml:space="preserve">Россий</w:t>
      </w:r>
      <w:r>
        <w:rPr>
          <w:b/>
          <w:bCs w:val="0"/>
          <w:szCs w:val="24"/>
        </w:rPr>
        <w:t xml:space="preserve">ские акционерные общества:</w:t>
      </w:r>
      <w:r>
        <w:rPr>
          <w:b/>
          <w:bCs w:val="0"/>
          <w:szCs w:val="24"/>
        </w:rPr>
      </w:r>
    </w:p>
    <w:p>
      <w:pPr>
        <w:pStyle w:val="1524"/>
        <w:spacing w:after="120"/>
        <w:widowControl w:val="off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-</w:t>
      </w:r>
      <w:r>
        <w:rPr>
          <w:szCs w:val="24"/>
        </w:rPr>
        <w:tab/>
        <w:t xml:space="preserve">реестр / выписка из реестра акционеров/ список владельцев ценных бумаг, оформленные в соответствии с требованиями законодательства Российской Федерации. Срок действия (на дату представления в комплекте документов) - не более 60</w:t>
      </w:r>
      <w:r>
        <w:rPr>
          <w:szCs w:val="24"/>
        </w:rPr>
        <w:t xml:space="preserve"> (шестидесяти) календарных дней с даты выдачи уполномоченным органом, либо список аффилированных лиц общества на последнюю отчетную дату (в случае, если в нем раскрыты сведения в </w:t>
      </w:r>
      <w:r>
        <w:rPr>
          <w:szCs w:val="24"/>
        </w:rPr>
        <w:t xml:space="preserve">отношении владельцев 100% уставного капитала).</w:t>
      </w:r>
      <w:r>
        <w:rPr>
          <w:szCs w:val="24"/>
        </w:rPr>
      </w:r>
    </w:p>
    <w:p>
      <w:pPr>
        <w:pStyle w:val="1524"/>
        <w:numPr>
          <w:ilvl w:val="0"/>
          <w:numId w:val="67"/>
        </w:numPr>
        <w:spacing w:after="120"/>
        <w:tabs>
          <w:tab w:val="left" w:pos="1418" w:leader="none"/>
        </w:tabs>
        <w:rPr>
          <w:b/>
          <w:bCs w:val="0"/>
          <w:szCs w:val="24"/>
        </w:rPr>
      </w:pPr>
      <w:r>
        <w:rPr>
          <w:b/>
          <w:bCs w:val="0"/>
          <w:szCs w:val="24"/>
        </w:rPr>
        <w:t xml:space="preserve">Индивидуальные предприниматели</w:t>
      </w:r>
      <w:r>
        <w:rPr>
          <w:b/>
          <w:bCs w:val="0"/>
          <w:szCs w:val="24"/>
        </w:rPr>
        <w:t xml:space="preserve">/физические лица:</w:t>
      </w:r>
      <w:r>
        <w:rPr>
          <w:b/>
          <w:bCs w:val="0"/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-</w:t>
      </w:r>
      <w:r>
        <w:rPr>
          <w:szCs w:val="24"/>
        </w:rPr>
        <w:tab/>
        <w:t xml:space="preserve">копии паспортов;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-</w:t>
      </w:r>
      <w:r>
        <w:rPr>
          <w:szCs w:val="24"/>
        </w:rPr>
        <w:tab/>
        <w:t xml:space="preserve">копии ИНН.</w:t>
      </w:r>
      <w:r>
        <w:rPr>
          <w:szCs w:val="24"/>
        </w:rPr>
      </w:r>
    </w:p>
    <w:p>
      <w:pPr>
        <w:pStyle w:val="1524"/>
        <w:numPr>
          <w:ilvl w:val="0"/>
          <w:numId w:val="67"/>
        </w:numPr>
        <w:spacing w:after="120"/>
        <w:tabs>
          <w:tab w:val="left" w:pos="1418" w:leader="none"/>
        </w:tabs>
        <w:rPr>
          <w:b/>
          <w:bCs w:val="0"/>
          <w:szCs w:val="24"/>
        </w:rPr>
      </w:pPr>
      <w:r>
        <w:rPr>
          <w:b/>
          <w:bCs w:val="0"/>
          <w:szCs w:val="24"/>
        </w:rPr>
        <w:t xml:space="preserve">Для юридических лиц - нерезидентов Российской Федерации:</w:t>
      </w:r>
      <w:r>
        <w:rPr>
          <w:b/>
          <w:bCs w:val="0"/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-</w:t>
      </w:r>
      <w:r>
        <w:rPr>
          <w:szCs w:val="24"/>
        </w:rPr>
        <w:tab/>
        <w:t xml:space="preserve">копии документов, выданных уполномоченными органами страны, в которой зарегистрировано (инкорпорировано) юридическое лицо, и содержащие в себе все </w:t>
      </w:r>
      <w:r>
        <w:rPr>
          <w:szCs w:val="24"/>
        </w:rPr>
        <w:t xml:space="preserve">необходимые и достоверные сведения об акционерах (участниках) такого юридического лица в соответствии с применимым правом. В случае если учет сведений об учредителях (акционерах) передан коммерческой организации в соответствии с законодательством, необходи</w:t>
      </w:r>
      <w:r>
        <w:rPr>
          <w:szCs w:val="24"/>
        </w:rPr>
        <w:t xml:space="preserve">мо представить документ, подтверждающий наличие у коммерческой организации, осуществляющей регистрацию (ведение реестра) соответствующих полномочий. Документы представляются легализованные апостилем (для стран-участниц Гаагской конвенции от 5 октября 1961 </w:t>
      </w:r>
      <w:r>
        <w:rPr>
          <w:szCs w:val="24"/>
        </w:rPr>
        <w:t xml:space="preserve">г.) с копией нотариально удостоверенного перевода либо в соответствии с иными действующими международными договорами;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-</w:t>
      </w:r>
      <w:r>
        <w:rPr>
          <w:szCs w:val="24"/>
        </w:rPr>
        <w:tab/>
        <w:t xml:space="preserve">срок действия (на момент представления) - не более 90 (девяносто) календарных дней с даты выдачи уполномоченным органом. Документы, выда</w:t>
      </w:r>
      <w:r>
        <w:rPr>
          <w:szCs w:val="24"/>
        </w:rPr>
        <w:t xml:space="preserve">нные уполномоченным органом более 90 (девяносто) дней до представления, но не более одного года представляются с сопроводительным письмом об отсутствии изменений за указанный период.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В случае если акции (доли) находятся в доверительном управлении, подтверж</w:t>
      </w:r>
      <w:r>
        <w:rPr>
          <w:szCs w:val="24"/>
        </w:rPr>
        <w:t xml:space="preserve">дающим документом является письмо от акционерного общества, акции которого находятся в доверительном управлении или от организации, осуществляющей доверительное управления, с указанием собственника акций (долей), переданных в доверительного управление. Есл</w:t>
      </w:r>
      <w:r>
        <w:rPr>
          <w:szCs w:val="24"/>
        </w:rPr>
        <w:t xml:space="preserve">и собственником акций (долей), переданных в доверительное управление, является юридическое лицо, то в зависимости от организационно-правовой формы, необходимо представить подтверждающие документы в отношении всей цепочки его собственников, включая бенефици</w:t>
      </w:r>
      <w:r>
        <w:rPr>
          <w:szCs w:val="24"/>
        </w:rPr>
        <w:t xml:space="preserve">аров (в том числе конечных). 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*Под информацией о цепочке собственников подразумеваются: данные об участниках; в отношении участников, являющихся юридическими лицами, данные об их участниках и т.д.), включая бенефициаров (в том числе конечных), а также свед</w:t>
      </w:r>
      <w:r>
        <w:rPr>
          <w:szCs w:val="24"/>
        </w:rPr>
        <w:t xml:space="preserve">ений о составе исполнительных органов;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rPr>
          <w:szCs w:val="24"/>
        </w:rPr>
        <w:t xml:space="preserve">В случае участия в закупочной процедуре коллективного участника формы 5.1, 5.2 с приложением вышеуказанных подтверждающих документов предоставляются на КАЖДОГО члена коллективного участника;</w:t>
      </w:r>
      <w:r>
        <w:rPr>
          <w:szCs w:val="24"/>
        </w:rPr>
      </w:r>
    </w:p>
    <w:p>
      <w:pPr>
        <w:pStyle w:val="1524"/>
        <w:spacing w:after="120"/>
        <w:rPr>
          <w:szCs w:val="24"/>
        </w:rPr>
      </w:pPr>
      <w:r>
        <w:rPr>
          <w:szCs w:val="24"/>
        </w:rPr>
        <w:t xml:space="preserve">д). согласие на обработку </w:t>
      </w:r>
      <w:r>
        <w:rPr>
          <w:szCs w:val="24"/>
        </w:rPr>
        <w:t xml:space="preserve">персональных данных в соответствии с Федеральным законом от 27.07.2006 № 152-ФЗ «О персональных данных» (часть III «ОБРАЗЦЫ ФОРМ ДЛЯ ЗАПОЛНЕНИЯ УЧАСТНИКАМИ ЗАКУПКИ», форма 11).</w:t>
      </w:r>
      <w:r>
        <w:rPr>
          <w:szCs w:val="24"/>
        </w:rPr>
      </w:r>
    </w:p>
    <w:p>
      <w:pPr>
        <w:pStyle w:val="1524"/>
        <w:spacing w:after="120"/>
        <w:tabs>
          <w:tab w:val="left" w:pos="1418" w:leader="none"/>
        </w:tabs>
        <w:rPr>
          <w:szCs w:val="24"/>
        </w:rPr>
      </w:pPr>
      <w:r>
        <w:t xml:space="preserve">В случае участия в закупочной процедуре коллективного участника форма 11 предос</w:t>
      </w:r>
      <w:r>
        <w:t xml:space="preserve">тавляется на КАЖДОГО члена коллективного участника</w:t>
      </w:r>
      <w:r>
        <w:rPr>
          <w:szCs w:val="24"/>
        </w:rPr>
      </w:r>
    </w:p>
    <w:p>
      <w:pPr>
        <w:pStyle w:val="1524"/>
        <w:ind w:left="567" w:firstLine="0"/>
        <w:spacing w:after="120"/>
        <w:rPr>
          <w:b/>
          <w:szCs w:val="24"/>
        </w:rPr>
      </w:pPr>
      <w:r>
        <w:rPr>
          <w:b/>
          <w:szCs w:val="24"/>
        </w:rPr>
        <w:t xml:space="preserve">Для физических лиц:</w:t>
      </w:r>
      <w:r>
        <w:rPr>
          <w:b/>
          <w:szCs w:val="24"/>
        </w:rPr>
      </w:r>
    </w:p>
    <w:p>
      <w:pPr>
        <w:pStyle w:val="1495"/>
        <w:numPr>
          <w:ilvl w:val="0"/>
          <w:numId w:val="34"/>
        </w:numPr>
        <w:ind w:left="0" w:firstLine="567"/>
        <w:jc w:val="both"/>
        <w:spacing w:after="120"/>
        <w:rPr>
          <w:bCs/>
          <w:vanish/>
        </w:rPr>
      </w:pPr>
      <w:r>
        <w:rPr>
          <w:bCs/>
          <w:vanish/>
        </w:rPr>
      </w:r>
      <w:r>
        <w:rPr>
          <w:bCs/>
          <w:vanish/>
        </w:rPr>
      </w:r>
    </w:p>
    <w:p>
      <w:pPr>
        <w:pStyle w:val="1495"/>
        <w:numPr>
          <w:ilvl w:val="0"/>
          <w:numId w:val="34"/>
        </w:numPr>
        <w:ind w:left="0" w:firstLine="567"/>
        <w:jc w:val="both"/>
        <w:spacing w:after="120"/>
        <w:rPr>
          <w:bCs/>
          <w:vanish/>
        </w:rPr>
      </w:pPr>
      <w:r>
        <w:rPr>
          <w:bCs/>
          <w:vanish/>
        </w:rPr>
      </w:r>
      <w:r>
        <w:rPr>
          <w:bCs/>
          <w:vanish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rPr>
          <w:szCs w:val="24"/>
        </w:rPr>
        <w:t xml:space="preserve">копия паспорта гражданина Российской Федерации или паспорт</w:t>
      </w:r>
      <w:r>
        <w:rPr>
          <w:szCs w:val="24"/>
        </w:rPr>
        <w:t xml:space="preserve">а иного государства, или иной документ, его заменяющий в соответствии с требованиями действующего законодательства Российской Федерации. В случае, если паспорт или иной его заменяющий документ выдан на территории иного государства, должен быть представлен </w:t>
      </w:r>
      <w:r>
        <w:rPr>
          <w:szCs w:val="24"/>
        </w:rPr>
        <w:t xml:space="preserve">апостилированный перевод такого документа;</w:t>
      </w:r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rPr>
          <w:szCs w:val="24"/>
        </w:rPr>
        <w:t xml:space="preserve">копия свидетельства о присвоении идентификационного номера налогоплательщика (ИНН);</w:t>
      </w:r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rPr>
          <w:szCs w:val="24"/>
        </w:rPr>
        <w:t xml:space="preserve">копия страхового свидетельства государственного пенсионного страхования;</w:t>
      </w:r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rPr>
          <w:szCs w:val="24"/>
        </w:rPr>
      </w:pPr>
      <w:r>
        <w:rPr>
          <w:szCs w:val="24"/>
        </w:rPr>
        <w:t xml:space="preserve">согласие на обработку персональных данных в соответствии</w:t>
      </w:r>
      <w:r>
        <w:rPr>
          <w:szCs w:val="24"/>
        </w:rPr>
        <w:t xml:space="preserve"> с Федеральным законом от 27.07.2006 № 152-ФЗ «О персональных данных» (часть III «ОБРАЗЦЫ ФОРМ ДЛЯ ЗАПОЛНЕНИЯ УЧАСТНИКАМИ ЗАКУПКИ», форма 9);</w:t>
      </w:r>
      <w:r>
        <w:rPr>
          <w:szCs w:val="24"/>
        </w:rPr>
      </w:r>
    </w:p>
    <w:p>
      <w:pPr>
        <w:pStyle w:val="1524"/>
        <w:ind w:left="567" w:firstLine="0"/>
        <w:spacing w:after="120"/>
        <w:rPr>
          <w:szCs w:val="24"/>
        </w:rPr>
      </w:pPr>
      <w:r>
        <w:rPr>
          <w:b/>
          <w:szCs w:val="24"/>
          <w:lang w:eastAsia="en-US"/>
        </w:rPr>
        <w:t xml:space="preserve">Для коллективных участников </w:t>
      </w:r>
      <w:r>
        <w:rPr>
          <w:szCs w:val="24"/>
          <w:lang w:eastAsia="en-US"/>
        </w:rPr>
        <w:t xml:space="preserve">дополнительно:</w:t>
      </w:r>
      <w:r>
        <w:rPr>
          <w:szCs w:val="24"/>
        </w:rPr>
      </w:r>
    </w:p>
    <w:p>
      <w:pPr>
        <w:pStyle w:val="1524"/>
        <w:numPr>
          <w:ilvl w:val="0"/>
          <w:numId w:val="34"/>
        </w:numPr>
        <w:ind w:left="0" w:firstLine="567"/>
        <w:spacing w:after="120"/>
        <w:widowControl w:val="off"/>
        <w:rPr>
          <w:szCs w:val="24"/>
        </w:rPr>
      </w:pPr>
      <w:r>
        <w:rPr>
          <w:szCs w:val="24"/>
        </w:rPr>
        <w:t xml:space="preserve">соглашение коллективного участника, соответствующее требованиям п. 3.4.3. части I «ОБЩИЕ УСЛОВИЯ ПРОВЕДЕНИЯ ЗАКУПКИ».</w:t>
      </w:r>
      <w:r>
        <w:rPr>
          <w:szCs w:val="24"/>
        </w:rPr>
      </w:r>
    </w:p>
    <w:p>
      <w:pPr>
        <w:pStyle w:val="1495"/>
        <w:numPr>
          <w:ilvl w:val="0"/>
          <w:numId w:val="25"/>
        </w:numPr>
        <w:ind w:left="0" w:firstLine="567"/>
        <w:jc w:val="both"/>
        <w:rPr>
          <w:b/>
          <w:u w:val="single"/>
        </w:rPr>
      </w:pPr>
      <w:r>
        <w:rPr>
          <w:b/>
          <w:u w:val="single"/>
        </w:rPr>
        <w:t xml:space="preserve">Документы для оценки заявок по Критериям оценки и сопоставления заявок (приложение 1 к части </w:t>
      </w:r>
      <w:r>
        <w:rPr>
          <w:b/>
          <w:u w:val="single"/>
          <w:lang w:val="en-US"/>
        </w:rPr>
        <w:t xml:space="preserve">II</w:t>
      </w:r>
      <w:r>
        <w:rPr>
          <w:b/>
          <w:u w:val="single"/>
        </w:rPr>
        <w:t xml:space="preserve"> «ИНФОРМАЦИОННАЯ КАРТА ЗАКУПКИ».</w:t>
      </w:r>
      <w:r>
        <w:rPr>
          <w:b/>
          <w:u w:val="single"/>
        </w:rPr>
      </w:r>
    </w:p>
    <w:p>
      <w:pPr>
        <w:ind w:firstLine="567"/>
        <w:spacing w:after="0"/>
        <w:rPr>
          <w:i/>
          <w:u w:val="single"/>
        </w:rPr>
      </w:pPr>
      <w:r>
        <w:rPr>
          <w:i/>
          <w:u w:val="single"/>
        </w:rPr>
      </w:r>
      <w:r>
        <w:rPr>
          <w:i/>
          <w:u w:val="single"/>
        </w:rPr>
      </w:r>
    </w:p>
    <w:p>
      <w:pPr>
        <w:pStyle w:val="1524"/>
        <w:numPr>
          <w:ilvl w:val="0"/>
          <w:numId w:val="52"/>
        </w:numPr>
        <w:ind w:left="0" w:firstLine="567"/>
        <w:spacing w:after="120"/>
        <w:tabs>
          <w:tab w:val="left" w:pos="0" w:leader="none"/>
          <w:tab w:val="left" w:pos="1276" w:leader="none"/>
          <w:tab w:val="left" w:pos="1985" w:leader="none"/>
        </w:tabs>
      </w:pPr>
      <w:r>
        <w:t xml:space="preserve">справка д</w:t>
      </w:r>
      <w:r>
        <w:t xml:space="preserve">ля оценки опыта исполнения за последние 3 (три) года договоров по созданию и/или внедрению и/или доработке и/или развитию и/или модернизации автоматизированной системы управления персоналом (включая процесс расчета заработной платы) для нужд компаний элект</w:t>
      </w:r>
      <w:r>
        <w:t xml:space="preserve">росетевого комплекса по установленной в настоящей документации о закупке форме (часть III «ОБРАЗЦЫ ФОРМ ДЛЯ ЗАПОЛНЕНИЯ УЧАСТНИКАМИ ЗАКУПКИ», форма 6.2) с приложением подтверждающих документов (актов выполненных работ/оказанных услуг, договоров).</w:t>
      </w:r>
      <w:r/>
    </w:p>
    <w:p>
      <w:pPr>
        <w:pStyle w:val="1524"/>
        <w:numPr>
          <w:ilvl w:val="0"/>
          <w:numId w:val="52"/>
        </w:numPr>
        <w:ind w:left="0" w:firstLine="567"/>
        <w:spacing w:after="120"/>
        <w:tabs>
          <w:tab w:val="left" w:pos="0" w:leader="none"/>
          <w:tab w:val="left" w:pos="1276" w:leader="none"/>
          <w:tab w:val="left" w:pos="1985" w:leader="none"/>
        </w:tabs>
      </w:pPr>
      <w:r>
        <w:t xml:space="preserve">справка дл</w:t>
      </w:r>
      <w:r>
        <w:t xml:space="preserve">я оценки опыта по созданию и/или внедрению и/или разработке и/или развитию и/или модернизации и/или расширению информационных и/или автоматизированных систем управления на базе программного обеспечения, включенного в Единый реестр российских программ для э</w:t>
      </w:r>
      <w:r>
        <w:t xml:space="preserve">лектронных вычислительных машин и баз данных </w:t>
      </w:r>
      <w:r>
        <w:t xml:space="preserve">для нужд компаний, имеющих территориально распределенную сеть филиалов (от 3 филиалов и более)</w:t>
      </w:r>
      <w:r>
        <w:t xml:space="preserve"> по установленной в настоящей документации о закупке форме (часть III «ОБРАЗЦЫ ФОРМ ДЛЯ ЗАПОЛНЕНИЯ УЧАСТНИКАМИ ЗАКУПК</w:t>
      </w:r>
      <w:r>
        <w:t xml:space="preserve">И», форма 6.3) с приложением подтверждающих документов (актов выполненных работ/оказанных услуг, договоров).</w:t>
      </w:r>
      <w:r/>
    </w:p>
    <w:p>
      <w:pPr>
        <w:pStyle w:val="1524"/>
        <w:numPr>
          <w:ilvl w:val="0"/>
          <w:numId w:val="52"/>
        </w:numPr>
        <w:ind w:left="0" w:firstLine="567"/>
        <w:spacing w:after="120"/>
        <w:tabs>
          <w:tab w:val="left" w:pos="0" w:leader="none"/>
          <w:tab w:val="left" w:pos="1276" w:leader="none"/>
          <w:tab w:val="left" w:pos="1985" w:leader="none"/>
        </w:tabs>
        <w:rPr>
          <w:szCs w:val="24"/>
        </w:rPr>
      </w:pPr>
      <w:r>
        <w:t xml:space="preserve">справка о привлекаемых кадровых ресурсах по установленной в настоящей документации о закупке форме (часть III «ОБРАЗЦЫ ФОРМ ДЛЯ ЗАПОЛНЕНИЯ УЧАСТНИК</w:t>
      </w:r>
      <w:r>
        <w:t xml:space="preserve">АМИ ЗАКУПКИ», форма 7), с приложением подтверждающих документов, указанных в п. 5 приложения 1 к части II «ИНФОРМАЦИОННАЯ КАРТА ЗАКУПКИ», в том числе резюме сотрудников по форме 7.1.</w:t>
      </w:r>
      <w:r>
        <w:rPr>
          <w:szCs w:val="24"/>
        </w:rPr>
      </w:r>
    </w:p>
    <w:p>
      <w:pPr>
        <w:pStyle w:val="1524"/>
        <w:ind w:firstLine="0"/>
        <w:spacing w:after="120"/>
        <w:tabs>
          <w:tab w:val="left" w:pos="0" w:leader="none"/>
          <w:tab w:val="left" w:pos="1276" w:leader="none"/>
          <w:tab w:val="left" w:pos="1985" w:leader="none"/>
        </w:tabs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1524"/>
        <w:ind w:firstLine="0"/>
        <w:spacing w:after="120"/>
        <w:widowControl w:val="off"/>
      </w:pPr>
      <w:r/>
      <w:r/>
    </w:p>
    <w:p>
      <w:pPr>
        <w:pStyle w:val="1524"/>
        <w:ind w:firstLine="0"/>
        <w:spacing w:after="120"/>
        <w:widowControl w:val="off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1114"/>
        <w:numPr>
          <w:ilvl w:val="0"/>
          <w:numId w:val="6"/>
        </w:numPr>
        <w:ind w:left="0" w:firstLine="567"/>
        <w:pageBreakBefore/>
        <w:spacing w:before="0" w:after="0"/>
        <w:rPr>
          <w:rStyle w:val="1477"/>
          <w:b/>
          <w:bCs/>
          <w:sz w:val="24"/>
          <w:szCs w:val="24"/>
        </w:rPr>
      </w:pPr>
      <w:r/>
      <w:bookmarkStart w:id="325" w:name="_РАЗДЕЛ_I_4_ОБРАЗЦЫ_ФОРМ_И_ДОКУМЕНТО"/>
      <w:r/>
      <w:bookmarkStart w:id="326" w:name="_Ref119427310"/>
      <w:r/>
      <w:bookmarkStart w:id="327" w:name="_Toc166101215"/>
      <w:r/>
      <w:bookmarkStart w:id="328" w:name="_Ref166101288"/>
      <w:r/>
      <w:bookmarkStart w:id="329" w:name="_Ref166101291"/>
      <w:r/>
      <w:bookmarkStart w:id="330" w:name="_Ref166158276"/>
      <w:r/>
      <w:bookmarkStart w:id="331" w:name="_Ref166158279"/>
      <w:r/>
      <w:bookmarkStart w:id="332" w:name="_Ref166329210"/>
      <w:r/>
      <w:bookmarkStart w:id="333" w:name="_Ref166329212"/>
      <w:r/>
      <w:bookmarkStart w:id="334" w:name="_Ref166329217"/>
      <w:r/>
      <w:bookmarkStart w:id="335" w:name="_Toc243045079"/>
      <w:r/>
      <w:bookmarkEnd w:id="325"/>
      <w:r>
        <w:rPr>
          <w:rStyle w:val="1477"/>
          <w:b/>
          <w:bCs/>
          <w:sz w:val="24"/>
          <w:szCs w:val="24"/>
        </w:rPr>
        <w:t xml:space="preserve">ОБРАЗЦЫ ФОРМ ДЛЯ ЗАПОЛНЕНИЯ УЧАСТНИКАМИ ЗАКУПКИ</w:t>
      </w:r>
      <w:bookmarkEnd w:id="326"/>
      <w:r/>
      <w:bookmarkEnd w:id="327"/>
      <w:r/>
      <w:bookmarkEnd w:id="328"/>
      <w:r/>
      <w:bookmarkEnd w:id="329"/>
      <w:r/>
      <w:bookmarkEnd w:id="330"/>
      <w:r/>
      <w:bookmarkEnd w:id="331"/>
      <w:r/>
      <w:bookmarkEnd w:id="332"/>
      <w:r/>
      <w:bookmarkEnd w:id="333"/>
      <w:r/>
      <w:bookmarkEnd w:id="334"/>
      <w:r/>
      <w:bookmarkEnd w:id="335"/>
      <w:r/>
      <w:r>
        <w:rPr>
          <w:rStyle w:val="1477"/>
          <w:b/>
          <w:bCs/>
          <w:sz w:val="24"/>
          <w:szCs w:val="24"/>
        </w:rPr>
      </w:r>
    </w:p>
    <w:p>
      <w:r/>
      <w:r/>
    </w:p>
    <w:p>
      <w:pPr>
        <w:pStyle w:val="1115"/>
        <w:numPr>
          <w:ilvl w:val="0"/>
          <w:numId w:val="43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336" w:name="_Toc116983297"/>
      <w:r/>
      <w:bookmarkStart w:id="337" w:name="_Toc121292706"/>
      <w:r/>
      <w:bookmarkStart w:id="338" w:name="_Toc127334286"/>
      <w:r/>
      <w:bookmarkStart w:id="339" w:name="_Ref166329536"/>
      <w:r/>
      <w:bookmarkStart w:id="340" w:name="_Toc243045080"/>
      <w:r>
        <w:rPr>
          <w:sz w:val="24"/>
          <w:szCs w:val="24"/>
        </w:rPr>
        <w:t xml:space="preserve">ПИСЬМО О ПОДАЧЕ ОФЕРТЫ</w:t>
      </w:r>
      <w:bookmarkEnd w:id="336"/>
      <w:r/>
      <w:bookmarkEnd w:id="340"/>
      <w:r/>
      <w:r>
        <w:rPr>
          <w:sz w:val="24"/>
          <w:szCs w:val="24"/>
        </w:rPr>
      </w:r>
    </w:p>
    <w:p>
      <w:pPr>
        <w:ind w:hanging="7307"/>
        <w:jc w:val="center"/>
        <w:tabs>
          <w:tab w:val="left" w:pos="1276" w:leader="none"/>
        </w:tabs>
      </w:pPr>
      <w:r/>
      <w:r/>
    </w:p>
    <w:p>
      <w:pPr>
        <w:tabs>
          <w:tab w:val="left" w:pos="1080" w:leader="none"/>
        </w:tabs>
        <w:rPr>
          <w:b/>
        </w:rPr>
      </w:pPr>
      <w:r>
        <w:rPr>
          <w:b/>
        </w:rPr>
        <w:t xml:space="preserve">Фирменный бланк Участника закупки</w:t>
      </w:r>
      <w:r>
        <w:rPr>
          <w:b/>
        </w:rPr>
      </w:r>
    </w:p>
    <w:p>
      <w:pPr>
        <w:ind w:firstLine="540"/>
        <w:tabs>
          <w:tab w:val="left" w:pos="1080" w:leader="none"/>
        </w:tabs>
      </w:pPr>
      <w:r>
        <w:t xml:space="preserve">  </w:t>
      </w:r>
      <w:r/>
    </w:p>
    <w:p>
      <w:pPr>
        <w:jc w:val="left"/>
        <w:rPr>
          <w:b/>
        </w:rPr>
      </w:pPr>
      <w:r>
        <w:rPr>
          <w:bCs/>
        </w:rPr>
        <w:t xml:space="preserve">«_____»__________года  №______</w:t>
      </w:r>
      <w:r>
        <w:rPr>
          <w:b/>
        </w:rPr>
      </w:r>
    </w:p>
    <w:p>
      <w:pPr>
        <w:ind w:firstLine="540"/>
        <w:tabs>
          <w:tab w:val="left" w:pos="1080" w:leader="none"/>
        </w:tabs>
      </w:pPr>
      <w:r/>
      <w:r/>
    </w:p>
    <w:p>
      <w:pPr>
        <w:ind w:firstLine="540"/>
        <w:tabs>
          <w:tab w:val="left" w:pos="1080" w:leader="none"/>
        </w:tabs>
      </w:pPr>
      <w:r>
        <w:t xml:space="preserve">Изучив Извещение о проведении конкурса в электронной форме на право заключения договора _____________________ {нео</w:t>
      </w:r>
      <w:r>
        <w:t xml:space="preserve">бходимо указать титул}, опубликованное на официальном сайте, документацию о закупке, и принимая установленные в них требования и условия закупки </w:t>
      </w:r>
      <w:r/>
    </w:p>
    <w:p>
      <w:pPr>
        <w:ind w:firstLine="540"/>
        <w:tabs>
          <w:tab w:val="left" w:pos="1080" w:leader="none"/>
        </w:tabs>
      </w:pPr>
      <w:r>
        <w:t xml:space="preserve">____________________________________________________________________, </w:t>
      </w:r>
      <w:r/>
    </w:p>
    <w:p>
      <w:pPr>
        <w:tabs>
          <w:tab w:val="left" w:pos="1080" w:leader="none"/>
        </w:tabs>
        <w:rPr>
          <w:vertAlign w:val="superscript"/>
        </w:rPr>
      </w:pPr>
      <w:r>
        <w:rPr>
          <w:vertAlign w:val="superscript"/>
        </w:rPr>
        <w:t xml:space="preserve">(полное наименование Участника закупки </w:t>
      </w:r>
      <w:r>
        <w:rPr>
          <w:vertAlign w:val="superscript"/>
        </w:rPr>
        <w:t xml:space="preserve">с указанием организационно-правовой формы, при подаче предложения коллективным участником указывается лидер и состав коллективного участника),</w:t>
      </w:r>
      <w:r>
        <w:rPr>
          <w:vertAlign w:val="superscript"/>
        </w:rPr>
      </w:r>
    </w:p>
    <w:p>
      <w:pPr>
        <w:ind w:firstLine="540"/>
        <w:tabs>
          <w:tab w:val="left" w:pos="1080" w:leader="none"/>
        </w:tabs>
      </w:pPr>
      <w:r/>
      <w:r/>
    </w:p>
    <w:p>
      <w:pPr>
        <w:ind w:firstLine="540"/>
        <w:tabs>
          <w:tab w:val="left" w:pos="1080" w:leader="none"/>
        </w:tabs>
      </w:pPr>
      <w:r>
        <w:t xml:space="preserve">зарегистрированное по адресу</w:t>
      </w:r>
      <w:r/>
    </w:p>
    <w:p>
      <w:pPr>
        <w:ind w:firstLine="540"/>
        <w:tabs>
          <w:tab w:val="left" w:pos="1080" w:leader="none"/>
        </w:tabs>
      </w:pPr>
      <w:r>
        <w:t xml:space="preserve">________________________________________________________________________,</w:t>
      </w:r>
      <w:r/>
    </w:p>
    <w:p>
      <w:pPr>
        <w:ind w:firstLine="540"/>
        <w:jc w:val="center"/>
        <w:tabs>
          <w:tab w:val="left" w:pos="1080" w:leader="none"/>
        </w:tabs>
        <w:rPr>
          <w:vertAlign w:val="superscript"/>
        </w:rPr>
      </w:pPr>
      <w:r>
        <w:rPr>
          <w:vertAlign w:val="superscript"/>
        </w:rPr>
        <w:t xml:space="preserve">(местонахождение Участника закупки)</w:t>
      </w:r>
      <w:r>
        <w:rPr>
          <w:vertAlign w:val="superscript"/>
        </w:rPr>
      </w:r>
    </w:p>
    <w:p>
      <w:pPr>
        <w:ind w:firstLine="540"/>
        <w:tabs>
          <w:tab w:val="left" w:pos="1080" w:leader="none"/>
        </w:tabs>
      </w:pPr>
      <w:r/>
      <w:r/>
    </w:p>
    <w:p>
      <w:pPr>
        <w:ind w:firstLine="540"/>
        <w:tabs>
          <w:tab w:val="left" w:pos="1080" w:leader="none"/>
        </w:tabs>
      </w:pPr>
      <w:r>
        <w:t xml:space="preserve">предлагает заключить Договор на:</w:t>
      </w:r>
      <w:r/>
    </w:p>
    <w:p>
      <w:pPr>
        <w:ind w:firstLine="540"/>
        <w:tabs>
          <w:tab w:val="left" w:pos="1080" w:leader="none"/>
        </w:tabs>
      </w:pPr>
      <w:r>
        <w:t xml:space="preserve">________________________________________________________________________</w:t>
      </w:r>
      <w:r/>
    </w:p>
    <w:p>
      <w:pPr>
        <w:ind w:firstLine="540"/>
        <w:jc w:val="center"/>
        <w:tabs>
          <w:tab w:val="left" w:pos="1080" w:leader="none"/>
        </w:tabs>
        <w:rPr>
          <w:vertAlign w:val="superscript"/>
        </w:rPr>
      </w:pPr>
      <w:r>
        <w:rPr>
          <w:vertAlign w:val="superscript"/>
        </w:rPr>
        <w:t xml:space="preserve">(наименование закупки, предмет закупки)</w:t>
      </w:r>
      <w:r>
        <w:rPr>
          <w:vertAlign w:val="superscript"/>
        </w:rPr>
      </w:r>
    </w:p>
    <w:p>
      <w:pPr>
        <w:tabs>
          <w:tab w:val="left" w:pos="1080" w:leader="none"/>
        </w:tabs>
        <w:rPr>
          <w:vertAlign w:val="superscript"/>
        </w:rPr>
      </w:pPr>
      <w:r>
        <w:t xml:space="preserve">на условиях и в соответствии с Проектом договора, являющимся неотъемлемой</w:t>
      </w:r>
      <w:r>
        <w:t xml:space="preserve"> частью документации о закупке, Техническим предложением, Графиком выполнения работ, Сводной таблицей стоимости и другими документами, входящими в состав заявки, на общую сумму </w:t>
      </w:r>
      <w:r>
        <w:rPr>
          <w:vertAlign w:val="superscript"/>
        </w:rPr>
      </w:r>
    </w:p>
    <w:p>
      <w:pPr>
        <w:ind w:firstLine="540"/>
        <w:tabs>
          <w:tab w:val="left" w:pos="1080" w:leader="none"/>
        </w:tabs>
      </w:pPr>
      <w:r/>
      <w:r/>
    </w:p>
    <w:tbl>
      <w:tblPr>
        <w:tblW w:w="9678" w:type="dxa"/>
        <w:tblLook w:val="01E0" w:firstRow="1" w:lastRow="1" w:firstColumn="1" w:lastColumn="1" w:noHBand="0" w:noVBand="0"/>
      </w:tblPr>
      <w:tblGrid>
        <w:gridCol w:w="5184"/>
        <w:gridCol w:w="4494"/>
      </w:tblGrid>
      <w:tr>
        <w:tblPrEx/>
        <w:trPr>
          <w:cantSplit/>
        </w:trPr>
        <w:tc>
          <w:tcPr>
            <w:tcW w:w="5184" w:type="dxa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</w:pPr>
            <w:r>
              <w:t xml:space="preserve">Итоговая стоимость заявки, руб.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</w:pPr>
            <w:r>
              <w:t xml:space="preserve">_______________________________</w:t>
            </w:r>
            <w:r/>
          </w:p>
          <w:p>
            <w:pPr>
              <w:ind w:firstLine="540"/>
              <w:jc w:val="center"/>
              <w:tabs>
                <w:tab w:val="left" w:pos="1080" w:leader="none"/>
              </w:tabs>
              <w:rPr>
                <w:vertAlign w:val="superscript"/>
              </w:rPr>
            </w:pPr>
            <w:r>
              <w:rPr>
                <w:vertAlign w:val="superscript"/>
              </w:rPr>
              <w:t xml:space="preserve">(</w:t>
            </w:r>
            <w:r>
              <w:rPr>
                <w:sz w:val="20"/>
                <w:vertAlign w:val="superscript"/>
              </w:rPr>
              <w:t xml:space="preserve">итоговая сто</w:t>
            </w:r>
            <w:r>
              <w:rPr>
                <w:sz w:val="20"/>
                <w:vertAlign w:val="superscript"/>
              </w:rPr>
              <w:t xml:space="preserve">имость, рублей, без НДС)</w:t>
            </w:r>
            <w:r>
              <w:rPr>
                <w:vertAlign w:val="superscript"/>
              </w:rPr>
            </w:r>
          </w:p>
        </w:tc>
      </w:tr>
      <w:tr>
        <w:tblPrEx/>
        <w:trPr>
          <w:cantSplit/>
        </w:trPr>
        <w:tc>
          <w:tcPr>
            <w:tcW w:w="5184" w:type="dxa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</w:pPr>
            <w:r>
              <w:t xml:space="preserve">кроме того НДС, руб.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</w:pPr>
            <w:r>
              <w:t xml:space="preserve">_______________________________</w:t>
            </w:r>
            <w:r/>
          </w:p>
          <w:p>
            <w:pPr>
              <w:ind w:firstLine="540"/>
              <w:jc w:val="center"/>
              <w:tabs>
                <w:tab w:val="left" w:pos="1080" w:leader="none"/>
              </w:tabs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(НДС по итоговой стоимости, рублей)</w:t>
            </w:r>
            <w:r>
              <w:rPr>
                <w:sz w:val="20"/>
                <w:vertAlign w:val="superscript"/>
              </w:rPr>
            </w:r>
          </w:p>
        </w:tc>
      </w:tr>
      <w:tr>
        <w:tblPrEx/>
        <w:trPr>
          <w:cantSplit/>
        </w:trPr>
        <w:tc>
          <w:tcPr>
            <w:tcW w:w="5184" w:type="dxa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</w:pPr>
            <w:r>
              <w:t xml:space="preserve">Итого,</w:t>
            </w:r>
            <w:r/>
          </w:p>
          <w:p>
            <w:pPr>
              <w:ind w:firstLine="540"/>
              <w:tabs>
                <w:tab w:val="left" w:pos="1080" w:leader="none"/>
              </w:tabs>
            </w:pPr>
            <w:r>
              <w:t xml:space="preserve">стоимость заявки с НДС, руб.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</w:pPr>
            <w:r>
              <w:t xml:space="preserve">_______________________________</w:t>
            </w:r>
            <w:r/>
          </w:p>
          <w:p>
            <w:pPr>
              <w:ind w:left="486"/>
              <w:jc w:val="center"/>
              <w:tabs>
                <w:tab w:val="left" w:pos="1080" w:leader="none"/>
              </w:tabs>
              <w:rPr>
                <w:sz w:val="20"/>
                <w:vertAlign w:val="superscript"/>
              </w:rPr>
            </w:pPr>
            <w:r>
              <w:rPr>
                <w:sz w:val="20"/>
                <w:vertAlign w:val="superscript"/>
              </w:rPr>
              <w:t xml:space="preserve">(полная итоговая стоимость, рублей, с  НДС)</w:t>
            </w:r>
            <w:r>
              <w:rPr>
                <w:sz w:val="20"/>
                <w:vertAlign w:val="superscript"/>
              </w:rPr>
            </w:r>
          </w:p>
        </w:tc>
      </w:tr>
    </w:tbl>
    <w:p>
      <w:pPr>
        <w:ind w:firstLine="540"/>
        <w:tabs>
          <w:tab w:val="left" w:pos="1080" w:leader="none"/>
        </w:tabs>
      </w:pPr>
      <w:r/>
      <w:r/>
    </w:p>
    <w:p>
      <w:pPr>
        <w:ind w:firstLine="540"/>
        <w:tabs>
          <w:tab w:val="left" w:pos="1080" w:leader="none"/>
        </w:tabs>
      </w:pPr>
      <w:r>
        <w:t xml:space="preserve">Сроки выполнения работ: </w:t>
      </w:r>
      <w:r/>
    </w:p>
    <w:p>
      <w:pPr>
        <w:ind w:firstLine="540"/>
        <w:tabs>
          <w:tab w:val="left" w:pos="1080" w:leader="none"/>
        </w:tabs>
      </w:pPr>
      <w:r>
        <w:t xml:space="preserve">Начало __________________________________.</w:t>
      </w:r>
      <w:r/>
    </w:p>
    <w:p>
      <w:pPr>
        <w:ind w:firstLine="540"/>
        <w:tabs>
          <w:tab w:val="left" w:pos="1080" w:leader="none"/>
        </w:tabs>
      </w:pPr>
      <w:r>
        <w:t xml:space="preserve">Окончание _______________________________.</w:t>
      </w:r>
      <w:r/>
    </w:p>
    <w:p>
      <w:pPr>
        <w:ind w:firstLine="567"/>
        <w:spacing w:before="120"/>
      </w:pPr>
      <w:r>
        <w:rPr>
          <w:bCs/>
          <w:iCs/>
        </w:rPr>
        <w:t xml:space="preserve">Авансовый платеж не требуется.</w:t>
      </w:r>
      <w:r/>
    </w:p>
    <w:p>
      <w:pPr>
        <w:ind w:firstLine="540"/>
        <w:tabs>
          <w:tab w:val="left" w:pos="1080" w:leader="none"/>
        </w:tabs>
      </w:pPr>
      <w:r/>
      <w:r/>
    </w:p>
    <w:p>
      <w:pPr>
        <w:ind w:firstLine="540"/>
        <w:spacing w:after="120"/>
        <w:tabs>
          <w:tab w:val="left" w:pos="1080" w:leader="none"/>
        </w:tabs>
      </w:pPr>
      <w:r>
        <w:t xml:space="preserve">Настоящая заявка имеет правовой статус оферты и действует до «____»____________________ года.</w:t>
      </w:r>
      <w:r/>
    </w:p>
    <w:p>
      <w:pPr>
        <w:ind w:firstLine="540"/>
        <w:spacing w:after="120"/>
        <w:tabs>
          <w:tab w:val="left" w:pos="1080" w:leader="none"/>
        </w:tabs>
      </w:pPr>
      <w:r/>
      <w:r/>
    </w:p>
    <w:p>
      <w:pPr>
        <w:ind w:firstLine="540"/>
        <w:spacing w:after="120"/>
        <w:tabs>
          <w:tab w:val="left" w:pos="1080" w:leader="none"/>
        </w:tabs>
      </w:pPr>
      <w:r/>
      <w:r/>
    </w:p>
    <w:p>
      <w:pPr>
        <w:ind w:firstLine="540"/>
        <w:spacing w:after="120"/>
        <w:tabs>
          <w:tab w:val="left" w:pos="1080" w:leader="none"/>
        </w:tabs>
      </w:pPr>
      <w:r>
        <w:t xml:space="preserve">Данная Заявка под</w:t>
      </w:r>
      <w:r>
        <w:t xml:space="preserve">ается с пониманием того, что:</w:t>
      </w:r>
      <w:r/>
    </w:p>
    <w:p>
      <w:pPr>
        <w:ind w:firstLine="539"/>
        <w:spacing w:after="120"/>
        <w:widowControl w:val="off"/>
        <w:tabs>
          <w:tab w:val="left" w:pos="1080" w:leader="none"/>
        </w:tabs>
      </w:pPr>
      <w:r>
        <w:t xml:space="preserve">вы не отвечаете и не имеете обязательств по нашим расходам, связанным с подготовкой и подачей данной заявки, за исключением случаев, прямо оговоренных в законодательстве Российской Федерации;</w:t>
      </w:r>
      <w:r/>
    </w:p>
    <w:p>
      <w:pPr>
        <w:ind w:firstLine="540"/>
        <w:spacing w:after="120"/>
        <w:tabs>
          <w:tab w:val="left" w:pos="1080" w:leader="none"/>
        </w:tabs>
      </w:pPr>
      <w:r>
        <w:t xml:space="preserve">вы оставляете за собой право:</w:t>
      </w:r>
      <w:r/>
    </w:p>
    <w:p>
      <w:pPr>
        <w:numPr>
          <w:ilvl w:val="0"/>
          <w:numId w:val="23"/>
        </w:numPr>
        <w:ind w:left="1134" w:hanging="425"/>
        <w:spacing w:after="0"/>
        <w:widowControl w:val="off"/>
        <w:tabs>
          <w:tab w:val="left" w:pos="1134" w:leader="none"/>
        </w:tabs>
      </w:pPr>
      <w:r>
        <w:t xml:space="preserve">отклонить заявки с ценами, превышающими начальную (максимальную) цену договора;</w:t>
      </w:r>
      <w:r/>
    </w:p>
    <w:p>
      <w:pPr>
        <w:numPr>
          <w:ilvl w:val="0"/>
          <w:numId w:val="23"/>
        </w:numPr>
        <w:ind w:left="1134" w:hanging="425"/>
        <w:spacing w:after="0"/>
        <w:widowControl w:val="off"/>
        <w:tabs>
          <w:tab w:val="left" w:pos="1134" w:leader="none"/>
        </w:tabs>
      </w:pPr>
      <w:r>
        <w:t xml:space="preserve">принять или отклонить любую заявку в соответствии с условиями документации о закупке;</w:t>
      </w:r>
      <w:r/>
    </w:p>
    <w:p>
      <w:pPr>
        <w:numPr>
          <w:ilvl w:val="0"/>
          <w:numId w:val="23"/>
        </w:numPr>
        <w:ind w:left="1134" w:hanging="425"/>
        <w:spacing w:after="120"/>
        <w:widowControl w:val="off"/>
        <w:tabs>
          <w:tab w:val="left" w:pos="1134" w:leader="none"/>
        </w:tabs>
      </w:pPr>
      <w:r>
        <w:t xml:space="preserve">отклонить все заявки.</w:t>
      </w:r>
      <w:r/>
    </w:p>
    <w:p>
      <w:pPr>
        <w:ind w:firstLine="540"/>
        <w:spacing w:after="120"/>
        <w:tabs>
          <w:tab w:val="left" w:pos="1080" w:leader="none"/>
        </w:tabs>
      </w:pPr>
      <w:r>
        <w:t xml:space="preserve">Я, нижеподписавшийся, настоящим удосто</w:t>
      </w:r>
      <w:r>
        <w:t xml:space="preserve">веряю, что на момент подписания настоящей заявки ______________ (</w:t>
      </w:r>
      <w:r>
        <w:rPr>
          <w:i/>
        </w:rPr>
        <w:t xml:space="preserve">Наименование Участника, при подаче предложения коллективным участником указывается лидер и состав коллективного участника</w:t>
      </w:r>
      <w:r>
        <w:t xml:space="preserve">) полностью удовлетворяет требованиям к Участникам закупки и в частнос</w:t>
      </w:r>
      <w:r>
        <w:t xml:space="preserve">ти: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является полностью правоспособным;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является полностью дееспособным (только для физических лиц)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обладает необходимыми профессиональными и техническими квалификационными данными, финансовыми ресурсами, управленческой компетентностью, опытом и репутацией,</w:t>
      </w:r>
      <w:r>
        <w:t xml:space="preserve"> а также необходимыми трудовыми ресурсами;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соглашается на обработку персональных данных, представленных в Заявке в соответствии с Федеральным законом от 27.07.2006 № 152-ФЗ «О персональных данных» (только для физических лиц);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не находится  в процессе ликви</w:t>
      </w:r>
      <w:r>
        <w:t xml:space="preserve">дации, не имеет вступившего в силу решения арбитражного суда о признании </w:t>
      </w:r>
      <w:r>
        <w:rPr>
          <w:sz w:val="18"/>
        </w:rPr>
        <w:t xml:space="preserve">________________________(</w:t>
      </w:r>
      <w:r>
        <w:rPr>
          <w:i/>
          <w:iCs/>
          <w:sz w:val="18"/>
        </w:rPr>
        <w:t xml:space="preserve">Наименование Участника, </w:t>
      </w:r>
      <w:r>
        <w:rPr>
          <w:i/>
          <w:sz w:val="18"/>
        </w:rPr>
        <w:t xml:space="preserve">при подаче предложения коллективным участником указывается лидер и состав коллективного участника</w:t>
      </w:r>
      <w:r>
        <w:rPr>
          <w:sz w:val="18"/>
        </w:rPr>
        <w:t xml:space="preserve">)</w:t>
      </w:r>
      <w:r>
        <w:t xml:space="preserve">  банкротом и об открытии конкурсног</w:t>
      </w:r>
      <w:r>
        <w:t xml:space="preserve">о производства, на имущество </w:t>
      </w:r>
      <w:r>
        <w:rPr>
          <w:sz w:val="18"/>
        </w:rPr>
        <w:t xml:space="preserve">________________________(</w:t>
      </w:r>
      <w:r>
        <w:rPr>
          <w:i/>
          <w:iCs/>
          <w:sz w:val="18"/>
        </w:rPr>
        <w:t xml:space="preserve">Наименование Участника, </w:t>
      </w:r>
      <w:r>
        <w:rPr>
          <w:i/>
          <w:sz w:val="18"/>
        </w:rPr>
        <w:t xml:space="preserve">при подаче предложения коллективным участником указывается лидер и состав коллективного участника</w:t>
      </w:r>
      <w:r>
        <w:rPr>
          <w:sz w:val="18"/>
        </w:rPr>
        <w:t xml:space="preserve">) </w:t>
      </w:r>
      <w:r>
        <w:t xml:space="preserve">не наложен арест, экономическая деятельность  </w:t>
      </w:r>
      <w:r>
        <w:rPr>
          <w:sz w:val="18"/>
        </w:rPr>
        <w:t xml:space="preserve">________________________(</w:t>
      </w:r>
      <w:r>
        <w:rPr>
          <w:i/>
          <w:iCs/>
          <w:sz w:val="18"/>
        </w:rPr>
        <w:t xml:space="preserve">Наименов</w:t>
      </w:r>
      <w:r>
        <w:rPr>
          <w:i/>
          <w:iCs/>
          <w:sz w:val="18"/>
        </w:rPr>
        <w:t xml:space="preserve">ание Участника, </w:t>
      </w:r>
      <w:r>
        <w:rPr>
          <w:i/>
          <w:sz w:val="18"/>
        </w:rPr>
        <w:t xml:space="preserve">при подаче предложения коллективным участником указывается лидер и состав коллективного участника</w:t>
      </w:r>
      <w:r>
        <w:rPr>
          <w:sz w:val="18"/>
        </w:rPr>
        <w:t xml:space="preserve">)</w:t>
      </w:r>
      <w:r>
        <w:t xml:space="preserve">  не приостановлена.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не включен в Реестры недобросовестных поставщиков, ведущиеся в соответствии с Федеральными законами № 05.04.2013 № 44-ФЗ </w:t>
      </w:r>
      <w:r>
        <w:t xml:space="preserve">и 18.07.2011 № 223-ФЗ на ООС (</w:t>
      </w:r>
      <w:hyperlink r:id="rId23" w:tooltip="http://www.zakupki.gov.ru" w:history="1">
        <w:r>
          <w:t xml:space="preserve">www.zakupki.gov.ru</w:t>
        </w:r>
      </w:hyperlink>
      <w:r>
        <w:t xml:space="preserve">);</w:t>
      </w:r>
      <w:r/>
    </w:p>
    <w:p>
      <w:pPr>
        <w:numPr>
          <w:ilvl w:val="0"/>
          <w:numId w:val="22"/>
        </w:numPr>
        <w:ind w:left="0" w:firstLine="709"/>
        <w:widowControl w:val="off"/>
        <w:tabs>
          <w:tab w:val="num" w:pos="1080" w:leader="none"/>
          <w:tab w:val="num" w:pos="1620" w:leader="none"/>
        </w:tabs>
      </w:pPr>
      <w:r>
        <w:t xml:space="preserve">не включен в Реестр иностранных агентов, согласно Федерального закона от 14 июля 2022 года N 255-ФЗ "О контроле за деятельностью лиц</w:t>
      </w:r>
      <w:r>
        <w:t xml:space="preserve">, находящихся под иностранным влиянием», размещенном на официальном сайте уполномоченного органа в информационно-телекоммуникационной сети "Интернет".</w:t>
      </w:r>
      <w:r/>
    </w:p>
    <w:p>
      <w:pPr>
        <w:ind w:firstLine="540"/>
        <w:spacing w:after="120"/>
        <w:tabs>
          <w:tab w:val="left" w:pos="1080" w:leader="none"/>
        </w:tabs>
      </w:pPr>
      <w:r>
        <w:t xml:space="preserve">В соответствии с инструкциями, полученными от Вас в документации о закупке, информация по сути наших пред</w:t>
      </w:r>
      <w:r>
        <w:t xml:space="preserve">ложений в данной закупке представлена в следующих документах, которые являются неотъемлемой частью нашей Заявки.</w:t>
      </w:r>
      <w:r/>
    </w:p>
    <w:tbl>
      <w:tblPr>
        <w:tblW w:w="5183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266"/>
        <w:gridCol w:w="573"/>
        <w:gridCol w:w="244"/>
        <w:gridCol w:w="222"/>
        <w:gridCol w:w="3124"/>
        <w:gridCol w:w="1321"/>
        <w:gridCol w:w="1037"/>
        <w:gridCol w:w="903"/>
      </w:tblGrid>
      <w:tr>
        <w:tblPrEx/>
        <w:trPr>
          <w:gridBefore w:val="1"/>
        </w:trPr>
        <w:tc>
          <w:tcPr>
            <w:tcW w:w="430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W w:w="2811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</w:p>
        </w:tc>
        <w:tc>
          <w:tcPr>
            <w:tcW w:w="713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страницы</w:t>
            </w:r>
            <w:r>
              <w:rPr>
                <w:sz w:val="20"/>
                <w:szCs w:val="20"/>
              </w:rPr>
            </w:r>
          </w:p>
        </w:tc>
        <w:tc>
          <w:tcPr>
            <w:tcW w:w="1029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Число страниц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</w:trPr>
        <w:tc>
          <w:tcPr>
            <w:tcW w:w="430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W w:w="281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13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9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</w:trPr>
        <w:tc>
          <w:tcPr>
            <w:tcW w:w="430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W w:w="281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13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9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</w:trPr>
        <w:tc>
          <w:tcPr>
            <w:tcW w:w="430" w:type="pct"/>
            <w:vAlign w:val="center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</w:t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W w:w="281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13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9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gridBefore w:val="1"/>
        </w:trPr>
        <w:tc>
          <w:tcPr>
            <w:tcW w:w="430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W w:w="2811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….</w:t>
            </w:r>
            <w:r>
              <w:rPr>
                <w:sz w:val="20"/>
                <w:szCs w:val="20"/>
              </w:rPr>
            </w:r>
          </w:p>
        </w:tc>
        <w:tc>
          <w:tcPr>
            <w:tcW w:w="713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29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Before w:val="2"/>
        </w:trPr>
        <w:tc>
          <w:tcPr>
            <w:gridSpan w:val="3"/>
            <w:tcBorders>
              <w:bottom w:val="single" w:color="auto" w:sz="4" w:space="0"/>
            </w:tcBorders>
            <w:tcW w:w="1995" w:type="pct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816" w:type="pct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Borders>
              <w:bottom w:val="single" w:color="auto" w:sz="4" w:space="0"/>
            </w:tcBorders>
            <w:tcW w:w="1742" w:type="pct"/>
            <w:textDirection w:val="lrTb"/>
            <w:noWrap w:val="false"/>
          </w:tcPr>
          <w:p>
            <w:pPr>
              <w:ind w:firstLine="540"/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</w:trPr>
        <w:tc>
          <w:tcPr>
            <w:gridSpan w:val="3"/>
            <w:tcBorders>
              <w:top w:val="single" w:color="auto" w:sz="4" w:space="0"/>
            </w:tcBorders>
            <w:tcW w:w="1995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sz w:val="20"/>
                <w:szCs w:val="20"/>
              </w:rPr>
            </w:r>
          </w:p>
        </w:tc>
        <w:tc>
          <w:tcPr>
            <w:tcW w:w="219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</w:tcBorders>
            <w:tcW w:w="2714" w:type="pct"/>
            <w:textDirection w:val="lrTb"/>
            <w:noWrap w:val="false"/>
          </w:tcPr>
          <w:p>
            <w:pPr>
              <w:tabs>
                <w:tab w:val="left" w:pos="1080" w:leader="none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540"/>
        <w:tabs>
          <w:tab w:val="left" w:pos="1080" w:leader="none"/>
        </w:tabs>
        <w:rPr>
          <w:b/>
        </w:rPr>
      </w:pPr>
      <w:r>
        <w:rPr>
          <w:b/>
        </w:rPr>
        <w:t xml:space="preserve">М.П.</w:t>
      </w:r>
      <w:r>
        <w:rPr>
          <w:b/>
        </w:rPr>
      </w:r>
    </w:p>
    <w:p>
      <w:pPr>
        <w:tabs>
          <w:tab w:val="left" w:pos="1080" w:leader="none"/>
        </w:tabs>
        <w:rPr>
          <w:b/>
          <w:sz w:val="20"/>
        </w:rPr>
      </w:pPr>
      <w:r>
        <w:rPr>
          <w:b/>
          <w:sz w:val="20"/>
        </w:rPr>
        <w:t xml:space="preserve">Инструкции по заполнению</w:t>
      </w:r>
      <w:r>
        <w:rPr>
          <w:b/>
          <w:sz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Данные инструкции не следует воспроизводить в документах, подготовленных Участником.</w:t>
      </w:r>
      <w:r>
        <w:rPr>
          <w:sz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Письмо следует оформить на официальном бланке Участника закупки, если он является юридическим лицом. В случае, если участник закупки является физическим лицом, в том числе</w:t>
      </w:r>
      <w:r>
        <w:rPr>
          <w:sz w:val="20"/>
        </w:rPr>
        <w:t xml:space="preserve"> индивидуальным предпринимателем, требование о подготовке письма на бланке на него не распространяется. Участник закупки присваивает письму дату и номер в соответствии с принятыми у него правилами документооборота.</w:t>
      </w:r>
      <w:r>
        <w:rPr>
          <w:sz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Участник закупки, являющийся юридическим </w:t>
      </w:r>
      <w:r>
        <w:rPr>
          <w:sz w:val="20"/>
        </w:rPr>
        <w:t xml:space="preserve">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</w:t>
      </w:r>
      <w:r>
        <w:rPr>
          <w:sz w:val="20"/>
        </w:rPr>
        <w:t xml:space="preserve">портные данные, адрес прописки (индивидуальный предприниматель – адрес регистрации). </w:t>
      </w:r>
      <w:r>
        <w:rPr>
          <w:sz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Участник должен указать стоимость выполнения работ (услуг) цифрами и словами, в рублях, раздельно без НДС, величину НДС и вместе с НДС в соответствии со Сводной таблицей </w:t>
      </w:r>
      <w:r>
        <w:rPr>
          <w:sz w:val="20"/>
        </w:rPr>
        <w:t xml:space="preserve">стоимости работ (графа «Итого»). Цену следует указывать в формате ХХХ ХХХ ХХХ,ХХ руб., например: «1 234 567,89 руб. (Один миллион двести тридцать четыре тысячи пятьсот шестьдесят семь руб. восемьдесят девять коп.)».</w:t>
      </w:r>
      <w:r>
        <w:rPr>
          <w:sz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 должен указать срок дей</w:t>
      </w:r>
      <w:r>
        <w:rPr>
          <w:sz w:val="20"/>
          <w:szCs w:val="20"/>
        </w:rPr>
        <w:t xml:space="preserve">ствия заявки. При этом срок действия заявки не должен быть менее чем 90 календарных дней со дня, следующего за днем открытия доступа к заявкам Участников.</w:t>
      </w:r>
      <w:r>
        <w:rPr>
          <w:sz w:val="20"/>
          <w:szCs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Участник закупки должен перечислить и указать объем каждого из прилагаемых к письму о подаче оферты д</w:t>
      </w:r>
      <w:r>
        <w:rPr>
          <w:sz w:val="20"/>
        </w:rPr>
        <w:t xml:space="preserve">окументов, определяющих суть его технико-коммерческого предложения.</w:t>
      </w:r>
      <w:r>
        <w:rPr>
          <w:sz w:val="20"/>
        </w:rPr>
      </w:r>
    </w:p>
    <w:p>
      <w:pPr>
        <w:numPr>
          <w:ilvl w:val="0"/>
          <w:numId w:val="24"/>
        </w:numPr>
        <w:ind w:left="0" w:firstLine="284"/>
        <w:spacing w:after="0"/>
        <w:tabs>
          <w:tab w:val="left" w:pos="0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Письмо должно быть подписано и скреплено печатью в соответствии с требованиями документации о закупке, если Участником закупки является юридическое лицо, индивидуальный предприниматель. Ес</w:t>
      </w:r>
      <w:r>
        <w:rPr>
          <w:sz w:val="20"/>
        </w:rPr>
        <w:t xml:space="preserve">ли Участником закупки является физическое лицо – он подписывается собственноручно таким Участником. Такое требование по подписанию всех приложений к Письму о подаче оферты распространяется на все приложения, оформляемые и подписываемые Участником закупки.</w:t>
      </w:r>
      <w:r>
        <w:rPr>
          <w:sz w:val="20"/>
        </w:rPr>
      </w:r>
    </w:p>
    <w:p>
      <w:pPr>
        <w:ind w:firstLine="567"/>
        <w:tabs>
          <w:tab w:val="left" w:pos="0" w:leader="none"/>
        </w:tabs>
        <w:rPr>
          <w:sz w:val="20"/>
        </w:rPr>
        <w:sectPr>
          <w:footnotePr/>
          <w:endnotePr/>
          <w:type w:val="nextPage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sz w:val="20"/>
        </w:rPr>
      </w:r>
      <w:r>
        <w:rPr>
          <w:sz w:val="20"/>
        </w:rPr>
      </w:r>
    </w:p>
    <w:p>
      <w:pPr>
        <w:pStyle w:val="1115"/>
        <w:numPr>
          <w:ilvl w:val="0"/>
          <w:numId w:val="43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341" w:name="_Toc116983298"/>
      <w:r/>
      <w:bookmarkStart w:id="342" w:name="_Toc304196931"/>
      <w:r/>
      <w:bookmarkStart w:id="343" w:name="_Toc315079208"/>
      <w:r/>
      <w:bookmarkStart w:id="344" w:name="_Toc478390034"/>
      <w:r/>
      <w:bookmarkStart w:id="345" w:name="_Toc533150734"/>
      <w:r/>
      <w:bookmarkStart w:id="346" w:name="_Toc243045081"/>
      <w:r>
        <w:rPr>
          <w:sz w:val="24"/>
          <w:szCs w:val="24"/>
        </w:rPr>
        <w:t xml:space="preserve">Техническое предложение</w:t>
      </w:r>
      <w:bookmarkEnd w:id="341"/>
      <w:r/>
      <w:bookmarkEnd w:id="346"/>
      <w:r>
        <w:rPr>
          <w:sz w:val="24"/>
          <w:szCs w:val="24"/>
        </w:rPr>
        <w:t xml:space="preserve"> </w:t>
      </w:r>
      <w:bookmarkEnd w:id="342"/>
      <w:r/>
      <w:bookmarkEnd w:id="343"/>
      <w:r/>
      <w:bookmarkEnd w:id="344"/>
      <w:r/>
      <w:bookmarkEnd w:id="345"/>
      <w:r/>
      <w:r>
        <w:rPr>
          <w:sz w:val="24"/>
          <w:szCs w:val="24"/>
        </w:rPr>
      </w:r>
    </w:p>
    <w:p>
      <w:r/>
      <w:bookmarkStart w:id="347" w:name="_Toc247081498"/>
      <w:r/>
      <w:r/>
    </w:p>
    <w:p>
      <w:r>
        <w:t xml:space="preserve">Участник: ________________________________</w:t>
      </w:r>
      <w:bookmarkEnd w:id="347"/>
      <w:r>
        <w:t xml:space="preserve">                    </w:t>
      </w:r>
      <w:r/>
    </w:p>
    <w:p>
      <w:r/>
      <w:r/>
    </w:p>
    <w:p>
      <w:r>
        <w:t xml:space="preserve">Содержательн</w:t>
      </w:r>
      <w:r>
        <w:t xml:space="preserve">ая часть технического предложения, в которой участник формулирует суть своего технического предложения в части каждого пункта технической части закупочной документации с учётом требований приведённой ниже инструкции по заполнению технического предложения. </w:t>
      </w:r>
      <w:r/>
    </w:p>
    <w:p>
      <w:r>
        <w:rPr>
          <w:i/>
        </w:rPr>
        <w:t xml:space="preserve">Техническое предложение, содержащее согласие с выполнением требований технической части закупочной документации в любой форме при этом не содержащее описательной части предложения в части каждого пункта технической части закупочной документации, а также н</w:t>
      </w:r>
      <w:r>
        <w:rPr>
          <w:i/>
        </w:rPr>
        <w:t xml:space="preserve">е соответствующее требованиям инструкции по заполнению технического предложения, будет признано не раскрытым и не соответствующим требованиям закупочной документации</w:t>
      </w:r>
      <w:r/>
    </w:p>
    <w:p>
      <w:r/>
      <w:r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20"/>
        <w:gridCol w:w="554"/>
        <w:gridCol w:w="4876"/>
      </w:tblGrid>
      <w:tr>
        <w:tblPrEx/>
        <w:trPr/>
        <w:tc>
          <w:tcPr>
            <w:tcBorders>
              <w:bottom w:val="single" w:color="auto" w:sz="4" w:space="0"/>
            </w:tcBorders>
            <w:tcW w:w="3960" w:type="dxa"/>
            <w:textDirection w:val="lrTb"/>
            <w:noWrap w:val="false"/>
          </w:tcPr>
          <w:p>
            <w:r/>
            <w:r/>
          </w:p>
        </w:tc>
        <w:tc>
          <w:tcPr>
            <w:tcW w:w="57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bottom w:val="single" w:color="auto" w:sz="4" w:space="0"/>
            </w:tcBorders>
            <w:tcW w:w="510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3960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sz w:val="20"/>
                <w:szCs w:val="20"/>
              </w:rPr>
            </w:r>
          </w:p>
        </w:tc>
        <w:tc>
          <w:tcPr>
            <w:tcW w:w="57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5103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подписавшего, должно</w:t>
            </w:r>
            <w:r>
              <w:rPr>
                <w:sz w:val="20"/>
                <w:szCs w:val="20"/>
              </w:rPr>
              <w:t xml:space="preserve">сть)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  <w:lang w:val="en-US"/>
        </w:rPr>
      </w:pPr>
      <w:r/>
      <w:bookmarkStart w:id="348" w:name="_Toc247081500"/>
      <w:r>
        <w:rPr>
          <w:b/>
        </w:rPr>
        <w:t xml:space="preserve">М.П.</w:t>
      </w:r>
      <w:bookmarkEnd w:id="348"/>
      <w:r/>
      <w:r>
        <w:rPr>
          <w:b/>
          <w:lang w:val="en-US"/>
        </w:rPr>
      </w:r>
    </w:p>
    <w:p>
      <w:pPr>
        <w:rPr>
          <w:b/>
          <w:lang w:val="en-US"/>
        </w:rPr>
      </w:pPr>
      <w:r>
        <w:rPr>
          <w:b/>
          <w:lang w:val="en-US"/>
        </w:rPr>
      </w:r>
      <w:r>
        <w:rPr>
          <w:b/>
          <w:lang w:val="en-US"/>
        </w:rPr>
      </w:r>
    </w:p>
    <w:p>
      <w:pPr>
        <w:rPr>
          <w:b/>
          <w:sz w:val="20"/>
        </w:rPr>
      </w:pPr>
      <w:r/>
      <w:bookmarkStart w:id="349" w:name="_Toc247081501"/>
      <w:r>
        <w:rPr>
          <w:b/>
          <w:sz w:val="20"/>
        </w:rPr>
        <w:t xml:space="preserve">Инструкции по заполнению</w:t>
      </w:r>
      <w:bookmarkEnd w:id="349"/>
      <w:r/>
      <w:r>
        <w:rPr>
          <w:b/>
          <w:sz w:val="20"/>
        </w:rPr>
      </w:r>
    </w:p>
    <w:p>
      <w:pPr>
        <w:numPr>
          <w:ilvl w:val="0"/>
          <w:numId w:val="30"/>
        </w:numPr>
        <w:ind w:left="0" w:firstLine="284"/>
        <w:spacing w:after="0"/>
        <w:tabs>
          <w:tab w:val="num" w:pos="284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Данные инструкции не следует воспроизводить в документах, подготовленных Участником.</w:t>
      </w:r>
      <w:r>
        <w:rPr>
          <w:sz w:val="20"/>
        </w:rPr>
      </w:r>
    </w:p>
    <w:p>
      <w:pPr>
        <w:numPr>
          <w:ilvl w:val="0"/>
          <w:numId w:val="30"/>
        </w:numPr>
        <w:ind w:left="0" w:firstLine="284"/>
        <w:spacing w:after="0"/>
        <w:tabs>
          <w:tab w:val="num" w:pos="284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 указыва</w:t>
      </w:r>
      <w:r>
        <w:rPr>
          <w:sz w:val="20"/>
        </w:rPr>
        <w:t xml:space="preserve">ет полностью фамилию, имя, отчество, паспортные данные, адрес прописки (индивидуальный предприниматель – адрес регистрации).</w:t>
      </w:r>
      <w:r>
        <w:rPr>
          <w:sz w:val="20"/>
        </w:rPr>
      </w:r>
    </w:p>
    <w:p>
      <w:pPr>
        <w:numPr>
          <w:ilvl w:val="0"/>
          <w:numId w:val="30"/>
        </w:numPr>
        <w:ind w:left="0" w:firstLine="284"/>
        <w:spacing w:after="0"/>
        <w:tabs>
          <w:tab w:val="num" w:pos="284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Выше приведена форма титульного листа Технического предложения. </w:t>
      </w:r>
      <w:r>
        <w:rPr>
          <w:sz w:val="20"/>
        </w:rPr>
      </w:r>
    </w:p>
    <w:p>
      <w:pPr>
        <w:numPr>
          <w:ilvl w:val="0"/>
          <w:numId w:val="30"/>
        </w:numPr>
        <w:ind w:left="0" w:firstLine="284"/>
        <w:spacing w:after="0"/>
        <w:tabs>
          <w:tab w:val="num" w:pos="284" w:leader="none"/>
          <w:tab w:val="clear" w:pos="720" w:leader="none"/>
        </w:tabs>
        <w:rPr>
          <w:sz w:val="20"/>
        </w:rPr>
      </w:pPr>
      <w:r>
        <w:rPr>
          <w:sz w:val="20"/>
        </w:rPr>
        <w:t xml:space="preserve">В тексте Технического предложения должно быть указано выполнение </w:t>
      </w:r>
      <w:r>
        <w:rPr>
          <w:sz w:val="20"/>
        </w:rPr>
        <w:t xml:space="preserve">попунктно каждого пункта части </w:t>
      </w:r>
      <w:r>
        <w:rPr>
          <w:sz w:val="20"/>
          <w:lang w:val="en-US"/>
        </w:rPr>
        <w:t xml:space="preserve">V</w:t>
      </w:r>
      <w:r>
        <w:rPr>
          <w:sz w:val="20"/>
        </w:rPr>
        <w:t xml:space="preserve"> «Техническая часть». Формулировки «Согласно с Техническим заданием», «Работы будут выполнены согласно техническому заданию» и подобные рассматриваются как непредоставление технического предложения.</w:t>
      </w:r>
      <w:r>
        <w:rPr>
          <w:sz w:val="20"/>
        </w:rPr>
      </w:r>
    </w:p>
    <w:p>
      <w:pPr>
        <w:spacing w:after="0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jc w:val="left"/>
        <w:spacing w:after="0"/>
      </w:pPr>
      <w:r/>
      <w:r/>
    </w:p>
    <w:p>
      <w:pPr>
        <w:jc w:val="left"/>
        <w:spacing w:after="0"/>
        <w:rPr>
          <w:bCs/>
        </w:rPr>
        <w:sectPr>
          <w:headerReference w:type="default" r:id="rId9"/>
          <w:headerReference w:type="first" r:id="rId10"/>
          <w:footerReference w:type="default" r:id="rId15"/>
          <w:footerReference w:type="first" r:id="rId16"/>
          <w:footnotePr/>
          <w:endnotePr/>
          <w:type w:val="nextPage"/>
          <w:pgSz w:w="11909" w:h="16834" w:orient="portrait"/>
          <w:pgMar w:top="1134" w:right="850" w:bottom="1134" w:left="1701" w:header="720" w:footer="567" w:gutter="0"/>
          <w:cols w:num="1" w:sep="0" w:space="60" w:equalWidth="1"/>
          <w:docGrid w:linePitch="360"/>
        </w:sectPr>
      </w:pPr>
      <w:r/>
      <w:bookmarkStart w:id="350" w:name="_Toc167112853"/>
      <w:r/>
      <w:bookmarkStart w:id="351" w:name="_Toc154488708"/>
      <w:r/>
      <w:bookmarkStart w:id="352" w:name="_Toc144190806"/>
      <w:r/>
      <w:bookmarkStart w:id="353" w:name="_Toc109922307"/>
      <w:r/>
      <w:bookmarkStart w:id="354" w:name="_Toc533150735"/>
      <w:r/>
      <w:bookmarkStart w:id="355" w:name="_Toc405387465"/>
      <w:r/>
      <w:bookmarkStart w:id="356" w:name="_Toc404846060"/>
      <w:r/>
      <w:bookmarkStart w:id="357" w:name="_Toc317153411"/>
      <w:r>
        <w:rPr>
          <w:bCs/>
        </w:rPr>
        <w:br w:type="page" w:clear="all"/>
      </w:r>
      <w:r>
        <w:rPr>
          <w:bCs/>
        </w:rPr>
      </w:r>
    </w:p>
    <w:p>
      <w:pPr>
        <w:pStyle w:val="1115"/>
        <w:numPr>
          <w:ilvl w:val="0"/>
          <w:numId w:val="43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358" w:name="_Toc222497468"/>
      <w:r/>
      <w:bookmarkStart w:id="359" w:name="_Toc243045082"/>
      <w:r>
        <w:rPr>
          <w:sz w:val="24"/>
          <w:szCs w:val="24"/>
        </w:rPr>
        <w:t xml:space="preserve">График выполнения работ</w:t>
      </w:r>
      <w:bookmarkEnd w:id="358"/>
      <w:r/>
      <w:bookmarkEnd w:id="359"/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pStyle w:val="1524"/>
        <w:rPr>
          <w:b/>
          <w:szCs w:val="24"/>
        </w:rPr>
      </w:pPr>
      <w:r/>
      <w:bookmarkStart w:id="360" w:name="_Toc247081505"/>
      <w:r/>
      <w:r>
        <w:rPr>
          <w:b/>
          <w:szCs w:val="24"/>
        </w:rPr>
      </w:r>
    </w:p>
    <w:p>
      <w:pPr>
        <w:pStyle w:val="1524"/>
        <w:rPr>
          <w:i/>
          <w:szCs w:val="24"/>
        </w:rPr>
      </w:pPr>
      <w:r>
        <w:rPr>
          <w:szCs w:val="24"/>
        </w:rPr>
        <w:t xml:space="preserve">Участник закупки: ________________________________</w:t>
      </w:r>
      <w:bookmarkEnd w:id="360"/>
      <w:r>
        <w:rPr>
          <w:szCs w:val="24"/>
        </w:rPr>
        <w:t xml:space="preserve">                      </w:t>
      </w:r>
      <w:r>
        <w:rPr>
          <w:i/>
          <w:szCs w:val="24"/>
        </w:rPr>
      </w:r>
    </w:p>
    <w:p>
      <w:pPr>
        <w:pStyle w:val="1524"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1524"/>
        <w:rPr>
          <w:szCs w:val="24"/>
        </w:rPr>
      </w:pPr>
      <w:r>
        <w:rPr>
          <w:szCs w:val="24"/>
        </w:rPr>
      </w:r>
      <w:r>
        <w:rPr>
          <w:szCs w:val="24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7"/>
        <w:gridCol w:w="1182"/>
        <w:gridCol w:w="1658"/>
        <w:gridCol w:w="1868"/>
        <w:gridCol w:w="1471"/>
        <w:gridCol w:w="1335"/>
        <w:gridCol w:w="133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9" w:type="pc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Название этапа работ. Функциональные требования.</w:t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9" w:type="pc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Наименование отчетных материалов.</w:t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pc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sz w:val="20"/>
                <w:szCs w:val="20"/>
                <w:lang w:bidi="en-US"/>
              </w:rPr>
            </w:pPr>
            <w:r>
              <w:rPr>
                <w:sz w:val="20"/>
                <w:szCs w:val="20"/>
              </w:rPr>
              <w:t xml:space="preserve">Сроки.</w:t>
            </w:r>
            <w:r>
              <w:rPr>
                <w:sz w:val="20"/>
                <w:szCs w:val="20"/>
                <w:lang w:bidi="en-US"/>
              </w:rPr>
            </w:r>
          </w:p>
          <w:p>
            <w:pPr>
              <w:contextualSpacing/>
              <w:jc w:val="center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Начало</w:t>
            </w:r>
            <w:r>
              <w:rPr>
                <w:sz w:val="20"/>
                <w:szCs w:val="20"/>
              </w:rPr>
            </w:r>
          </w:p>
          <w:p>
            <w:pPr>
              <w:contextualSpacing/>
              <w:jc w:val="center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/конец</w:t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Стоимость работ, руб. (без НДС)</w:t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jc w:val="center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Стоимость работ, руб. (с НДС)</w:t>
            </w:r>
            <w:r>
              <w:rPr>
                <w:sz w:val="20"/>
                <w:szCs w:val="20"/>
                <w:lang w:eastAsia="zh-CN" w:bidi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</w:rPr>
              <w:t xml:space="preserve">1.</w:t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9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9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spacing w:after="0"/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</w:rPr>
              <w:t xml:space="preserve">2.</w:t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9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9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</w:rPr>
              <w:t xml:space="preserve">3. </w:t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9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9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</w:rPr>
              <w:t xml:space="preserve">4.</w:t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9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9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</w:tr>
      <w:tr>
        <w:tblPrEx/>
        <w:trPr>
          <w:trHeight w:val="3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</w:rPr>
              <w:t xml:space="preserve">5. </w:t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9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9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7" w:type="pct"/>
            <w:textDirection w:val="lrTb"/>
            <w:noWrap w:val="false"/>
          </w:tcPr>
          <w:p>
            <w:pPr>
              <w:contextualSpacing/>
              <w:ind w:left="14" w:firstLine="14"/>
              <w:jc w:val="center"/>
              <w:spacing w:after="0"/>
              <w:rPr>
                <w:sz w:val="20"/>
                <w:szCs w:val="20"/>
                <w:lang w:eastAsia="zh-CN" w:bidi="en-AU"/>
              </w:rPr>
            </w:pPr>
            <w:r>
              <w:rPr>
                <w:sz w:val="20"/>
                <w:szCs w:val="20"/>
                <w:lang w:eastAsia="zh-CN" w:bidi="en-AU"/>
              </w:rPr>
            </w:r>
            <w:r>
              <w:rPr>
                <w:sz w:val="20"/>
                <w:szCs w:val="20"/>
                <w:lang w:eastAsia="zh-CN" w:bidi="en-A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spacing w:after="0"/>
              <w:tabs>
                <w:tab w:val="left" w:pos="1347" w:leader="none"/>
              </w:tabs>
              <w:rPr>
                <w:color w:val="000000"/>
                <w:sz w:val="20"/>
                <w:szCs w:val="20"/>
                <w:lang w:eastAsia="zh-CN" w:bidi="en-US"/>
              </w:rPr>
            </w:pPr>
            <w:r>
              <w:rPr>
                <w:color w:val="000000"/>
                <w:sz w:val="20"/>
                <w:szCs w:val="20"/>
                <w:lang w:eastAsia="zh-CN" w:bidi="en-US"/>
              </w:rPr>
            </w:r>
            <w:r>
              <w:rPr>
                <w:color w:val="000000"/>
                <w:sz w:val="20"/>
                <w:szCs w:val="20"/>
                <w:lang w:eastAsia="zh-CN" w:bidi="en-US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6" w:type="pct"/>
            <w:textDirection w:val="lrTb"/>
            <w:noWrap w:val="false"/>
          </w:tcPr>
          <w:p>
            <w:pPr>
              <w:contextualSpacing/>
              <w:jc w:val="right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2" w:type="pct"/>
            <w:textDirection w:val="lrTb"/>
            <w:noWrap w:val="false"/>
          </w:tcPr>
          <w:p>
            <w:pPr>
              <w:contextualSpacing/>
              <w:jc w:val="right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3" w:type="pct"/>
            <w:textDirection w:val="lrTb"/>
            <w:noWrap w:val="false"/>
          </w:tcPr>
          <w:p>
            <w:pPr>
              <w:contextualSpacing/>
              <w:jc w:val="right"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</w:rPr>
              <w:t xml:space="preserve">Итого стоимость:</w:t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4" w:type="pct"/>
            <w:textDirection w:val="lrTb"/>
            <w:noWrap w:val="false"/>
          </w:tcPr>
          <w:p>
            <w:pPr>
              <w:contextualSpacing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</w:r>
            <w:r>
              <w:rPr>
                <w:sz w:val="20"/>
                <w:szCs w:val="20"/>
                <w:lang w:eastAsia="zh-CN" w:bidi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5" w:type="pct"/>
            <w:textDirection w:val="lrTb"/>
            <w:noWrap w:val="false"/>
          </w:tcPr>
          <w:p>
            <w:pPr>
              <w:contextualSpacing/>
              <w:spacing w:after="0"/>
              <w:rPr>
                <w:sz w:val="20"/>
                <w:szCs w:val="20"/>
                <w:lang w:eastAsia="zh-CN" w:bidi="en-US"/>
              </w:rPr>
            </w:pPr>
            <w:r>
              <w:rPr>
                <w:sz w:val="20"/>
                <w:szCs w:val="20"/>
                <w:lang w:eastAsia="zh-CN" w:bidi="en-US"/>
              </w:rPr>
            </w:r>
            <w:r>
              <w:rPr>
                <w:sz w:val="20"/>
                <w:szCs w:val="20"/>
                <w:lang w:eastAsia="zh-CN" w:bidi="en-US"/>
              </w:rPr>
            </w:r>
          </w:p>
        </w:tc>
      </w:tr>
    </w:tbl>
    <w:p>
      <w:pPr>
        <w:pStyle w:val="1524"/>
        <w:rPr>
          <w:szCs w:val="24"/>
        </w:rPr>
      </w:pPr>
      <w:r>
        <w:rPr>
          <w:szCs w:val="24"/>
        </w:rPr>
      </w:r>
      <w:r>
        <w:rPr>
          <w:szCs w:val="24"/>
        </w:rPr>
      </w:r>
    </w:p>
    <w:tbl>
      <w:tblPr>
        <w:tblW w:w="4816" w:type="pct"/>
        <w:tblInd w:w="101" w:type="dxa"/>
        <w:tblLook w:val="01E0" w:firstRow="1" w:lastRow="1" w:firstColumn="1" w:lastColumn="1" w:noHBand="0" w:noVBand="0"/>
      </w:tblPr>
      <w:tblGrid>
        <w:gridCol w:w="3526"/>
        <w:gridCol w:w="1437"/>
        <w:gridCol w:w="405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56" w:type="pct"/>
            <w:textDirection w:val="lrTb"/>
            <w:noWrap w:val="false"/>
          </w:tcPr>
          <w:p>
            <w:pPr>
              <w:jc w:val="left"/>
              <w:spacing w:after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797" w:type="pct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48" w:type="pct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  <w:tr>
        <w:tblPrEx/>
        <w:trPr>
          <w:trHeight w:val="296"/>
        </w:trPr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56" w:type="pct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vertAlign w:val="superscript"/>
                <w:lang w:eastAsia="en-US"/>
              </w:rPr>
              <w:t xml:space="preserve">(подпис уполномоченного представителя)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797" w:type="pct"/>
            <w:textDirection w:val="lrTb"/>
            <w:noWrap w:val="false"/>
          </w:tcPr>
          <w:p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248" w:type="pct"/>
            <w:textDirection w:val="lrTb"/>
            <w:noWrap w:val="false"/>
          </w:tcPr>
          <w:p>
            <w:pPr>
              <w:jc w:val="lef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vertAlign w:val="superscript"/>
                <w:lang w:eastAsia="en-US"/>
              </w:rPr>
              <w:t xml:space="preserve">(фамилия, имя, отчество подписавшего, должность)</w:t>
            </w:r>
            <w:r>
              <w:rPr>
                <w:color w:val="000000"/>
                <w:sz w:val="20"/>
                <w:szCs w:val="20"/>
                <w:lang w:eastAsia="en-US"/>
              </w:rPr>
            </w:r>
          </w:p>
        </w:tc>
      </w:tr>
    </w:tbl>
    <w:p>
      <w:pPr>
        <w:jc w:val="left"/>
        <w:spacing w:after="200" w:line="276" w:lineRule="auto"/>
        <w:rPr>
          <w:b/>
          <w:bCs/>
          <w:iCs/>
          <w:sz w:val="22"/>
          <w:lang w:eastAsia="en-US"/>
        </w:rPr>
      </w:pPr>
      <w:r>
        <w:rPr>
          <w:b/>
          <w:bCs/>
          <w:iCs/>
          <w:sz w:val="22"/>
          <w:lang w:eastAsia="en-US"/>
        </w:rPr>
        <w:t xml:space="preserve">М.П.</w:t>
      </w:r>
      <w:r>
        <w:rPr>
          <w:b/>
          <w:bCs/>
          <w:iCs/>
          <w:sz w:val="22"/>
          <w:lang w:eastAsia="en-US"/>
        </w:rPr>
      </w:r>
    </w:p>
    <w:p>
      <w:pPr>
        <w:jc w:val="left"/>
        <w:spacing w:after="200" w:line="276" w:lineRule="auto"/>
        <w:rPr>
          <w:b/>
          <w:bCs/>
          <w:iCs/>
          <w:sz w:val="20"/>
          <w:szCs w:val="22"/>
          <w:lang w:eastAsia="en-US"/>
        </w:rPr>
      </w:pPr>
      <w:r>
        <w:rPr>
          <w:b/>
          <w:bCs/>
          <w:iCs/>
          <w:sz w:val="20"/>
          <w:szCs w:val="22"/>
          <w:lang w:eastAsia="en-US"/>
        </w:rPr>
        <w:t xml:space="preserve">Инструкции по заполнению</w:t>
      </w:r>
      <w:r>
        <w:rPr>
          <w:b/>
          <w:bCs/>
          <w:iCs/>
          <w:sz w:val="20"/>
          <w:szCs w:val="22"/>
          <w:lang w:eastAsia="en-US"/>
        </w:rPr>
      </w:r>
    </w:p>
    <w:p>
      <w:pPr>
        <w:pStyle w:val="1495"/>
        <w:numPr>
          <w:ilvl w:val="0"/>
          <w:numId w:val="53"/>
        </w:numPr>
        <w:ind w:left="0" w:firstLine="426"/>
        <w:jc w:val="both"/>
        <w:tabs>
          <w:tab w:val="left" w:pos="0" w:leader="none"/>
          <w:tab w:val="left" w:pos="851" w:leader="none"/>
        </w:tabs>
        <w:rPr>
          <w:bCs/>
          <w:sz w:val="20"/>
        </w:rPr>
      </w:pPr>
      <w:r>
        <w:rPr>
          <w:bCs/>
          <w:sz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bCs/>
          <w:sz w:val="20"/>
        </w:rPr>
      </w:r>
    </w:p>
    <w:p>
      <w:pPr>
        <w:pStyle w:val="1495"/>
        <w:numPr>
          <w:ilvl w:val="0"/>
          <w:numId w:val="53"/>
        </w:numPr>
        <w:ind w:left="0" w:firstLine="426"/>
        <w:jc w:val="both"/>
        <w:tabs>
          <w:tab w:val="left" w:pos="0" w:leader="none"/>
          <w:tab w:val="left" w:pos="851" w:leader="none"/>
        </w:tabs>
        <w:rPr>
          <w:bCs/>
          <w:sz w:val="20"/>
        </w:rPr>
      </w:pPr>
      <w:r>
        <w:rPr>
          <w:bCs/>
          <w:sz w:val="20"/>
        </w:rPr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</w:t>
      </w:r>
      <w:r>
        <w:rPr>
          <w:bCs/>
          <w:sz w:val="20"/>
        </w:rPr>
        <w:t xml:space="preserve">ник закупки,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 </w:t>
      </w:r>
      <w:r>
        <w:rPr>
          <w:bCs/>
          <w:sz w:val="20"/>
        </w:rPr>
      </w:r>
    </w:p>
    <w:p>
      <w:pPr>
        <w:pStyle w:val="1495"/>
        <w:numPr>
          <w:ilvl w:val="0"/>
          <w:numId w:val="53"/>
        </w:numPr>
        <w:ind w:left="0" w:firstLine="426"/>
        <w:jc w:val="both"/>
        <w:tabs>
          <w:tab w:val="left" w:pos="0" w:leader="none"/>
          <w:tab w:val="left" w:pos="851" w:leader="none"/>
          <w:tab w:val="left" w:pos="1134" w:leader="none"/>
        </w:tabs>
        <w:rPr>
          <w:bCs/>
          <w:sz w:val="20"/>
        </w:rPr>
      </w:pPr>
      <w:r>
        <w:rPr>
          <w:bCs/>
          <w:sz w:val="20"/>
          <w:szCs w:val="20"/>
        </w:rPr>
        <w:t xml:space="preserve">График выполнения работ</w:t>
      </w:r>
      <w:r>
        <w:rPr>
          <w:sz w:val="20"/>
          <w:szCs w:val="20"/>
        </w:rPr>
        <w:t xml:space="preserve"> содержит пер</w:t>
      </w:r>
      <w:r>
        <w:rPr>
          <w:sz w:val="20"/>
          <w:szCs w:val="20"/>
        </w:rPr>
        <w:t xml:space="preserve">ечень работ, поставок; последовательность выполнения работ, поставок; </w:t>
      </w:r>
      <w:r>
        <w:rPr>
          <w:bCs/>
          <w:sz w:val="20"/>
          <w:szCs w:val="20"/>
        </w:rPr>
        <w:t xml:space="preserve"> общую стоимость каждой выполняемой работы, поставки; расчетные сроки выполнения каждого вида работ, поставок в рамках Договора, перечисленных в Сводной таблице стоимости работ (Форма 4)</w:t>
      </w:r>
      <w:r>
        <w:rPr>
          <w:bCs/>
          <w:sz w:val="20"/>
          <w:szCs w:val="20"/>
        </w:rPr>
        <w:t xml:space="preserve">.</w:t>
      </w:r>
      <w:r>
        <w:rPr>
          <w:bCs/>
          <w:sz w:val="20"/>
        </w:rPr>
      </w:r>
    </w:p>
    <w:p>
      <w:pPr>
        <w:pStyle w:val="1495"/>
        <w:numPr>
          <w:ilvl w:val="0"/>
          <w:numId w:val="53"/>
        </w:numPr>
        <w:ind w:left="0" w:firstLine="426"/>
        <w:jc w:val="both"/>
        <w:tabs>
          <w:tab w:val="left" w:pos="0" w:leader="none"/>
          <w:tab w:val="left" w:pos="851" w:leader="none"/>
          <w:tab w:val="left" w:pos="1134" w:leader="none"/>
        </w:tabs>
        <w:rPr>
          <w:bCs/>
          <w:sz w:val="20"/>
        </w:rPr>
      </w:pPr>
      <w:r>
        <w:rPr>
          <w:bCs/>
          <w:sz w:val="20"/>
        </w:rPr>
        <w:t xml:space="preserve">В данном Графике приводятся расчетные сроки выполнения всех видов работ в рамках Договора</w:t>
      </w:r>
      <w:r>
        <w:rPr>
          <w:bCs/>
          <w:sz w:val="20"/>
        </w:rPr>
      </w:r>
    </w:p>
    <w:p>
      <w:pPr>
        <w:jc w:val="left"/>
        <w:spacing w:after="0"/>
        <w:rPr>
          <w:bCs/>
        </w:rPr>
        <w:sectPr>
          <w:footnotePr/>
          <w:endnotePr/>
          <w:type w:val="nextPage"/>
          <w:pgSz w:w="11909" w:h="16834" w:orient="portrait"/>
          <w:pgMar w:top="1134" w:right="850" w:bottom="1134" w:left="1701" w:header="720" w:footer="567" w:gutter="0"/>
          <w:cols w:num="1" w:sep="0" w:space="60" w:equalWidth="1"/>
          <w:docGrid w:linePitch="360"/>
        </w:sectPr>
      </w:pPr>
      <w:r>
        <w:rPr>
          <w:bCs/>
          <w:sz w:val="20"/>
        </w:rPr>
        <w:t xml:space="preserve">Для указания сроков против каждого этапа следует в соответствующих графах указать его стоимость.</w:t>
      </w:r>
      <w:r>
        <w:rPr>
          <w:bCs/>
        </w:rPr>
      </w:r>
    </w:p>
    <w:p>
      <w:pPr>
        <w:pStyle w:val="1115"/>
        <w:numPr>
          <w:ilvl w:val="0"/>
          <w:numId w:val="43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361" w:name="_Toc103255987"/>
      <w:r/>
      <w:bookmarkStart w:id="362" w:name="_Toc116983300"/>
      <w:r/>
      <w:bookmarkStart w:id="363" w:name="_Toc144190807"/>
      <w:r/>
      <w:bookmarkStart w:id="364" w:name="_Toc154488709"/>
      <w:r/>
      <w:bookmarkStart w:id="365" w:name="_Toc530732"/>
      <w:r/>
      <w:bookmarkStart w:id="366" w:name="_Toc3894073"/>
      <w:r/>
      <w:bookmarkStart w:id="367" w:name="_Toc3895967"/>
      <w:r/>
      <w:bookmarkStart w:id="368" w:name="_Toc530736"/>
      <w:r/>
      <w:bookmarkStart w:id="369" w:name="_Toc478138457"/>
      <w:r/>
      <w:bookmarkStart w:id="370" w:name="_Toc478396871"/>
      <w:r/>
      <w:bookmarkStart w:id="371" w:name="_Toc533150740"/>
      <w:r/>
      <w:bookmarkStart w:id="372" w:name="_Toc4501225"/>
      <w:r/>
      <w:bookmarkStart w:id="373" w:name="_Toc64735403"/>
      <w:r/>
      <w:bookmarkStart w:id="374" w:name="_Toc77960180"/>
      <w:r/>
      <w:bookmarkStart w:id="375" w:name="_Toc98146384"/>
      <w:r/>
      <w:bookmarkStart w:id="376" w:name="_Toc98251782"/>
      <w:r/>
      <w:bookmarkStart w:id="377" w:name="_Ref55336398"/>
      <w:r/>
      <w:bookmarkStart w:id="378" w:name="_Toc57314678"/>
      <w:r/>
      <w:bookmarkStart w:id="379" w:name="_Toc69728992"/>
      <w:r/>
      <w:bookmarkStart w:id="380" w:name="_Toc98251780"/>
      <w:r/>
      <w:bookmarkStart w:id="381" w:name="_Toc247081610"/>
      <w:r/>
      <w:bookmarkStart w:id="382" w:name="форма10"/>
      <w:r/>
      <w:bookmarkStart w:id="383" w:name="_Toc243045083"/>
      <w:r/>
      <w:bookmarkEnd w:id="350"/>
      <w:r/>
      <w:bookmarkEnd w:id="351"/>
      <w:r/>
      <w:bookmarkEnd w:id="352"/>
      <w:r/>
      <w:bookmarkEnd w:id="353"/>
      <w:r/>
      <w:bookmarkEnd w:id="354"/>
      <w:r/>
      <w:bookmarkEnd w:id="355"/>
      <w:r/>
      <w:bookmarkEnd w:id="356"/>
      <w:r/>
      <w:bookmarkEnd w:id="357"/>
      <w:r>
        <w:rPr>
          <w:sz w:val="24"/>
          <w:szCs w:val="24"/>
        </w:rPr>
        <w:t xml:space="preserve">Сводная таблица стоимости </w:t>
      </w:r>
      <w:bookmarkEnd w:id="361"/>
      <w:r/>
      <w:bookmarkEnd w:id="362"/>
      <w:r/>
      <w:bookmarkEnd w:id="363"/>
      <w:r/>
      <w:bookmarkEnd w:id="364"/>
      <w:r>
        <w:rPr>
          <w:sz w:val="24"/>
          <w:szCs w:val="24"/>
        </w:rPr>
        <w:t xml:space="preserve">выполнения работ</w:t>
      </w:r>
      <w:bookmarkEnd w:id="383"/>
      <w:r/>
      <w:r>
        <w:rPr>
          <w:sz w:val="24"/>
          <w:szCs w:val="24"/>
        </w:rPr>
      </w:r>
    </w:p>
    <w:p>
      <w:r/>
      <w:r/>
    </w:p>
    <w:p>
      <w:r>
        <w:t xml:space="preserve">Участник закупки: ________________________________   </w:t>
      </w:r>
      <w:r/>
    </w:p>
    <w:p>
      <w:r>
        <w:rPr>
          <w:color w:val="000000"/>
          <w:spacing w:val="-3"/>
        </w:rPr>
        <w:t xml:space="preserve">В ценах на момент подачи заявки: «</w:t>
      </w:r>
      <w:r>
        <w:rPr>
          <w:color w:val="000000"/>
        </w:rPr>
        <w:t xml:space="preserve">____»___________________год</w:t>
      </w:r>
      <w:r>
        <w:rPr>
          <w:color w:val="000000"/>
        </w:rPr>
        <w:t xml:space="preserve">а</w:t>
      </w:r>
      <w:r/>
    </w:p>
    <w:p>
      <w:pPr>
        <w:rPr>
          <w:sz w:val="20"/>
          <w:szCs w:val="20"/>
          <w:highlight w:val="yellow"/>
        </w:rPr>
      </w:pPr>
      <w:r>
        <w:rPr>
          <w:sz w:val="20"/>
          <w:szCs w:val="20"/>
          <w:highlight w:val="yellow"/>
        </w:rPr>
      </w:r>
      <w:r>
        <w:rPr>
          <w:sz w:val="20"/>
          <w:szCs w:val="20"/>
          <w:highlight w:val="yellow"/>
        </w:rPr>
      </w:r>
    </w:p>
    <w:tbl>
      <w:tblPr>
        <w:tblW w:w="96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65"/>
        <w:gridCol w:w="1442"/>
        <w:gridCol w:w="2125"/>
        <w:gridCol w:w="992"/>
        <w:gridCol w:w="987"/>
        <w:gridCol w:w="1484"/>
        <w:gridCol w:w="1125"/>
        <w:gridCol w:w="1125"/>
      </w:tblGrid>
      <w:tr>
        <w:tblPrEx/>
        <w:trPr>
          <w:cantSplit/>
        </w:trPr>
        <w:tc>
          <w:tcPr>
            <w:tcW w:w="366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№</w:t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8"/>
                <w:szCs w:val="18"/>
                <w:lang w:eastAsia="zh-CN" w:bidi="ru-RU"/>
              </w:rPr>
            </w:pPr>
            <w:r>
              <w:rPr>
                <w:color w:val="000000"/>
                <w:sz w:val="18"/>
                <w:szCs w:val="18"/>
                <w:lang w:bidi="ru-RU"/>
              </w:rPr>
              <w:t xml:space="preserve">п/п</w:t>
            </w:r>
            <w:r>
              <w:rPr>
                <w:color w:val="000000"/>
                <w:sz w:val="18"/>
                <w:szCs w:val="18"/>
                <w:lang w:eastAsia="zh-CN" w:bidi="ru-RU"/>
              </w:rPr>
            </w:r>
          </w:p>
        </w:tc>
        <w:tc>
          <w:tcPr>
            <w:tcW w:w="1443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Этап/ наименование работ</w:t>
            </w: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</w:r>
          </w:p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Консультант - представитель Исполнителя,</w:t>
            </w: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</w:r>
          </w:p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8"/>
                <w:szCs w:val="18"/>
                <w:lang w:eastAsia="zh-CN"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принимающий участие в выполнении Работ</w:t>
            </w:r>
            <w:r>
              <w:rPr>
                <w:color w:val="000000"/>
                <w:sz w:val="18"/>
                <w:szCs w:val="18"/>
                <w:lang w:eastAsia="zh-CN" w:bidi="ru-RU"/>
              </w:rPr>
            </w:r>
          </w:p>
        </w:tc>
        <w:tc>
          <w:tcPr>
            <w:gridSpan w:val="2"/>
            <w:tcW w:w="1979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Сроки</w:t>
            </w: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</w:r>
          </w:p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8"/>
                <w:szCs w:val="18"/>
                <w:lang w:eastAsia="zh-CN"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участия в выполнении Работ</w:t>
            </w:r>
            <w:r>
              <w:rPr>
                <w:color w:val="000000"/>
                <w:sz w:val="18"/>
                <w:szCs w:val="18"/>
                <w:lang w:eastAsia="zh-CN" w:bidi="ru-RU"/>
              </w:rPr>
            </w:r>
          </w:p>
        </w:tc>
        <w:tc>
          <w:tcPr>
            <w:tcW w:w="1485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Трудозатраты консультанта, рабочих чел-часов участия в выполнении Работ</w:t>
            </w:r>
            <w:r>
              <w:rPr>
                <w:color w:val="000000"/>
                <w:sz w:val="18"/>
                <w:szCs w:val="18"/>
                <w:lang w:bidi="ru-RU"/>
              </w:rPr>
            </w:r>
          </w:p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Стоимость чел*часа работы консультанта, руб./чел-час без НДС</w:t>
            </w: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</w:r>
          </w:p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vMerge w:val="restart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18"/>
                <w:szCs w:val="18"/>
                <w:lang w:bidi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  <w:t xml:space="preserve">Стоимость работы консультанта, руб. без НДС</w:t>
            </w:r>
            <w:r>
              <w:rPr>
                <w:b/>
                <w:bCs/>
                <w:color w:val="000000"/>
                <w:sz w:val="18"/>
                <w:szCs w:val="18"/>
                <w:lang w:bidi="ru-RU"/>
              </w:rPr>
            </w:r>
          </w:p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>
          <w:cantSplit/>
        </w:trPr>
        <w:tc>
          <w:tcPr>
            <w:tcW w:w="9648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color w:val="000000"/>
                <w:sz w:val="18"/>
                <w:szCs w:val="18"/>
                <w:lang w:eastAsia="zh-CN" w:bidi="ru-RU"/>
              </w:rPr>
            </w:pPr>
            <w:r>
              <w:rPr>
                <w:color w:val="000000"/>
                <w:sz w:val="18"/>
                <w:szCs w:val="18"/>
                <w:lang w:eastAsia="zh-CN" w:bidi="ru-RU"/>
              </w:rPr>
            </w:r>
            <w:r>
              <w:rPr>
                <w:color w:val="000000"/>
                <w:sz w:val="18"/>
                <w:szCs w:val="18"/>
                <w:lang w:eastAsia="zh-CN" w:bidi="ru-RU"/>
              </w:rPr>
            </w:r>
          </w:p>
        </w:tc>
        <w:tc>
          <w:tcPr>
            <w:tcW w:w="1443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Фамилия И.О. / должность</w:t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6"/>
                <w:szCs w:val="16"/>
                <w:lang w:eastAsia="zh-CN" w:bidi="ru-RU"/>
              </w:rPr>
            </w:pPr>
            <w:r>
              <w:rPr>
                <w:color w:val="000000"/>
                <w:sz w:val="16"/>
                <w:szCs w:val="16"/>
                <w:lang w:bidi="ru-RU"/>
              </w:rPr>
              <w:t xml:space="preserve">начало</w:t>
            </w:r>
            <w:r>
              <w:rPr>
                <w:color w:val="000000"/>
                <w:sz w:val="16"/>
                <w:szCs w:val="16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color w:val="000000"/>
                <w:sz w:val="16"/>
                <w:szCs w:val="16"/>
                <w:lang w:eastAsia="zh-CN" w:bidi="ru-RU"/>
              </w:rPr>
            </w:pPr>
            <w:r>
              <w:rPr>
                <w:color w:val="000000"/>
                <w:sz w:val="16"/>
                <w:szCs w:val="16"/>
                <w:lang w:bidi="ru-RU"/>
              </w:rPr>
              <w:t xml:space="preserve">окончание</w:t>
            </w:r>
            <w:r>
              <w:rPr>
                <w:color w:val="000000"/>
                <w:sz w:val="16"/>
                <w:szCs w:val="16"/>
                <w:lang w:eastAsia="zh-CN" w:bidi="ru-RU"/>
              </w:rPr>
            </w:r>
          </w:p>
        </w:tc>
        <w:tc>
          <w:tcPr>
            <w:tcW w:w="1485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1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2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3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4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5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6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7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8=7*6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tcW w:w="36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43" w:type="dxa"/>
            <w:textDirection w:val="lrTb"/>
            <w:noWrap w:val="false"/>
          </w:tcPr>
          <w:p>
            <w:pPr>
              <w:spacing w:after="0" w:line="276" w:lineRule="auto"/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987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48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8"/>
            <w:tcW w:w="9648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РАСЧЕТ СТОИМОСТИ РАБОТ</w:t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Итого стоимость работ консультантов, руб.</w:t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Накладные расходы по ставке ____% от стоимости работы консультантов</w:t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Всего себестоимость Работ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Рентабельность по ставке ___% от себестоимости Работ</w:t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Всего стоимость Работ без НДС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8"/>
            <w:tcW w:w="9648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 xml:space="preserve">НДС по ставке____%</w:t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  <w:tr>
        <w:tblPrEx/>
        <w:trPr/>
        <w:tc>
          <w:tcPr>
            <w:gridSpan w:val="7"/>
            <w:tcW w:w="8523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bidi="ru-RU"/>
              </w:rPr>
              <w:t xml:space="preserve">Всего стоимость Работ с НДС</w:t>
            </w:r>
            <w:r>
              <w:rPr>
                <w:b/>
                <w:bCs/>
                <w:color w:val="000000"/>
                <w:sz w:val="20"/>
                <w:szCs w:val="20"/>
                <w:lang w:eastAsia="zh-CN" w:bidi="ru-RU"/>
              </w:rPr>
            </w:r>
          </w:p>
        </w:tc>
        <w:tc>
          <w:tcPr>
            <w:tcW w:w="1125" w:type="dxa"/>
            <w:textDirection w:val="lrTb"/>
            <w:noWrap w:val="false"/>
          </w:tcPr>
          <w:p>
            <w:pPr>
              <w:spacing w:after="0"/>
              <w:tabs>
                <w:tab w:val="right" w:pos="9360" w:leader="none"/>
              </w:tabs>
              <w:rPr>
                <w:color w:val="000000"/>
                <w:sz w:val="20"/>
                <w:szCs w:val="20"/>
                <w:lang w:eastAsia="zh-CN" w:bidi="ru-RU"/>
              </w:rPr>
            </w:pPr>
            <w:r>
              <w:rPr>
                <w:color w:val="000000"/>
                <w:sz w:val="20"/>
                <w:szCs w:val="20"/>
                <w:lang w:eastAsia="zh-CN" w:bidi="ru-RU"/>
              </w:rPr>
            </w:r>
            <w:r>
              <w:rPr>
                <w:color w:val="000000"/>
                <w:sz w:val="20"/>
                <w:szCs w:val="20"/>
                <w:lang w:eastAsia="zh-CN" w:bidi="ru-RU"/>
              </w:rPr>
            </w:r>
          </w:p>
        </w:tc>
      </w:tr>
    </w:tbl>
    <w:p>
      <w:pPr>
        <w:spacing w:after="0"/>
        <w:tabs>
          <w:tab w:val="num" w:pos="142" w:leader="none"/>
          <w:tab w:val="left" w:pos="567" w:leader="none"/>
        </w:tabs>
      </w:pPr>
      <w:r/>
      <w:r/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820"/>
        <w:gridCol w:w="554"/>
        <w:gridCol w:w="487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98" w:type="dxa"/>
            <w:textDirection w:val="lrTb"/>
            <w:noWrap w:val="false"/>
          </w:tcPr>
          <w:p>
            <w:r/>
            <w:r/>
          </w:p>
        </w:tc>
        <w:tc>
          <w:tcPr>
            <w:tcW w:w="566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002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98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(подпись уполномоченного представителя)</w:t>
            </w:r>
            <w:r>
              <w:rPr>
                <w:sz w:val="20"/>
                <w:szCs w:val="20"/>
              </w:rPr>
            </w:r>
          </w:p>
        </w:tc>
        <w:tc>
          <w:tcPr>
            <w:tcW w:w="566" w:type="dxa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2" w:type="dxa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(фамилия, имя, отчество подписавшего, должность)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b/>
        </w:rPr>
      </w:pPr>
      <w:r>
        <w:rPr>
          <w:b/>
        </w:rPr>
        <w:t xml:space="preserve">М.П.</w:t>
      </w:r>
      <w:r>
        <w:rPr>
          <w:b/>
        </w:rPr>
      </w:r>
    </w:p>
    <w:p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Инструкции по заполнению</w:t>
      </w:r>
      <w:r>
        <w:rPr>
          <w:b/>
          <w:sz w:val="20"/>
          <w:szCs w:val="20"/>
        </w:rPr>
      </w:r>
    </w:p>
    <w:p>
      <w:pPr>
        <w:ind w:firstLine="284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1.</w:t>
      </w:r>
      <w:r>
        <w:tab/>
      </w: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Участником.</w:t>
      </w:r>
      <w:r>
        <w:rPr>
          <w:sz w:val="20"/>
          <w:szCs w:val="20"/>
        </w:rPr>
      </w:r>
    </w:p>
    <w:p>
      <w:pPr>
        <w:ind w:firstLine="284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2.</w:t>
      </w:r>
      <w:r>
        <w:rPr>
          <w:sz w:val="20"/>
          <w:szCs w:val="20"/>
        </w:rPr>
        <w:tab/>
        <w:t xml:space="preserve">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Участник з</w:t>
      </w:r>
      <w:r>
        <w:rPr>
          <w:sz w:val="20"/>
          <w:szCs w:val="20"/>
        </w:rPr>
        <w:t xml:space="preserve">акупки, являющийся физическим лицом, в том числе индивидуальным предпринимателем, указывает полностью фамилию, имя, отчество, паспортные данные, адрес прописки (индивидуальный предприниматель – адрес регистрации).</w:t>
      </w:r>
      <w:r>
        <w:rPr>
          <w:sz w:val="20"/>
          <w:szCs w:val="20"/>
        </w:rPr>
      </w:r>
    </w:p>
    <w:p>
      <w:pPr>
        <w:ind w:firstLine="284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3.</w:t>
      </w:r>
      <w:r>
        <w:rPr>
          <w:sz w:val="20"/>
          <w:szCs w:val="20"/>
        </w:rPr>
        <w:tab/>
        <w:t xml:space="preserve">В Сводной таблице стоимости указывается</w:t>
      </w:r>
      <w:r>
        <w:rPr>
          <w:sz w:val="20"/>
          <w:szCs w:val="20"/>
        </w:rPr>
        <w:t xml:space="preserve"> калькуляция всех элементов, из которых складывается итоговая стоимость заявки в соответствии с частью V «Техническая часть» и проектом договора.</w:t>
      </w:r>
      <w:r>
        <w:rPr>
          <w:sz w:val="20"/>
          <w:szCs w:val="20"/>
        </w:rPr>
      </w:r>
    </w:p>
    <w:p>
      <w:pPr>
        <w:ind w:firstLine="284"/>
        <w:spacing w:after="0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 xml:space="preserve">4. Сводная таблица стоимости работ будет служить основой для подготовки Приложений к Договору. В этой связи в </w:t>
      </w:r>
      <w:r>
        <w:rPr>
          <w:spacing w:val="-2"/>
          <w:sz w:val="20"/>
          <w:szCs w:val="20"/>
        </w:rPr>
        <w:t xml:space="preserve">целях снижения общих затрат сил и времени Заказчика и Участника закупки на подготовку Договора данную Сводную таблицу стоимости работ следует подготовить так, чтобы ее можно было с минимальными изменениями включить в Договор в виде сметы.</w:t>
      </w:r>
      <w:r>
        <w:rPr>
          <w:spacing w:val="-2"/>
          <w:sz w:val="20"/>
          <w:szCs w:val="20"/>
        </w:rPr>
      </w:r>
    </w:p>
    <w:p>
      <w:pPr>
        <w:ind w:firstLine="284"/>
        <w:spacing w:after="0"/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5. </w:t>
      </w:r>
      <w:r>
        <w:rPr>
          <w:sz w:val="20"/>
          <w:szCs w:val="20"/>
        </w:rPr>
        <w:t xml:space="preserve">Участник к Сво</w:t>
      </w:r>
      <w:r>
        <w:rPr>
          <w:sz w:val="20"/>
          <w:szCs w:val="20"/>
        </w:rPr>
        <w:t xml:space="preserve">дной таблице стоимости должен приложить файл сводной таблицы стоимости работ, выполненный в формате MS Excel.</w:t>
      </w:r>
      <w:r>
        <w:rPr>
          <w:sz w:val="20"/>
          <w:szCs w:val="20"/>
        </w:rPr>
      </w:r>
    </w:p>
    <w:p>
      <w:pPr>
        <w:pStyle w:val="1115"/>
        <w:ind w:left="6947" w:hanging="6947"/>
        <w:tabs>
          <w:tab w:val="clear" w:pos="576" w:leader="none"/>
          <w:tab w:val="left" w:pos="1276" w:leader="none"/>
        </w:tabs>
        <w:rPr>
          <w:sz w:val="24"/>
          <w:szCs w:val="24"/>
        </w:rPr>
        <w:sectPr>
          <w:footnotePr/>
          <w:endnotePr/>
          <w:type w:val="nextPage"/>
          <w:pgSz w:w="11909" w:h="16834" w:orient="portrait"/>
          <w:pgMar w:top="1134" w:right="850" w:bottom="1134" w:left="1701" w:header="720" w:footer="567" w:gutter="0"/>
          <w:cols w:num="1" w:sep="0" w:space="60" w:equalWidth="1"/>
          <w:docGrid w:linePitch="360"/>
        </w:sectPr>
      </w:pPr>
      <w:r/>
      <w:bookmarkStart w:id="384" w:name="_Toc116983301"/>
      <w:r/>
      <w:bookmarkStart w:id="385" w:name="_Toc317153415"/>
      <w:r/>
      <w:bookmarkStart w:id="386" w:name="_Toc404846063"/>
      <w:r/>
      <w:bookmarkStart w:id="387" w:name="_Toc405387468"/>
      <w:r/>
      <w:bookmarkStart w:id="388" w:name="_Toc533150738"/>
      <w:r/>
      <w:bookmarkStart w:id="389" w:name="_Toc144190808"/>
      <w:r/>
      <w:bookmarkEnd w:id="365"/>
      <w:r/>
      <w:bookmarkEnd w:id="366"/>
      <w:r/>
      <w:bookmarkEnd w:id="367"/>
      <w:r/>
      <w:r>
        <w:rPr>
          <w:sz w:val="24"/>
          <w:szCs w:val="24"/>
        </w:rPr>
      </w:r>
    </w:p>
    <w:p>
      <w:pPr>
        <w:pStyle w:val="1115"/>
        <w:numPr>
          <w:ilvl w:val="0"/>
          <w:numId w:val="43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390" w:name="_Toc243045084"/>
      <w:r>
        <w:rPr>
          <w:sz w:val="24"/>
          <w:szCs w:val="24"/>
        </w:rPr>
        <w:t xml:space="preserve">1. Анкета Участника закупки</w:t>
      </w:r>
      <w:bookmarkEnd w:id="384"/>
      <w:r/>
      <w:bookmarkEnd w:id="385"/>
      <w:r/>
      <w:bookmarkEnd w:id="386"/>
      <w:r/>
      <w:bookmarkEnd w:id="387"/>
      <w:r/>
      <w:bookmarkEnd w:id="388"/>
      <w:r/>
      <w:bookmarkEnd w:id="389"/>
      <w:r/>
      <w:bookmarkEnd w:id="390"/>
      <w:r/>
      <w:r>
        <w:rPr>
          <w:sz w:val="24"/>
          <w:szCs w:val="24"/>
        </w:rPr>
      </w:r>
    </w:p>
    <w:p>
      <w:r/>
      <w:bookmarkStart w:id="391" w:name="_Toc247081589"/>
      <w:r/>
      <w:r/>
    </w:p>
    <w:p>
      <w:r>
        <w:t xml:space="preserve">Участник закупки: ________________________________</w:t>
      </w:r>
      <w:bookmarkEnd w:id="391"/>
      <w:r>
        <w:t xml:space="preserve">                           </w:t>
      </w:r>
      <w:r/>
    </w:p>
    <w:p>
      <w:r/>
      <w:r/>
    </w:p>
    <w:p>
      <w:pPr>
        <w:rPr>
          <w:b/>
          <w:i/>
        </w:rPr>
      </w:pPr>
      <w:r>
        <w:rPr>
          <w:b/>
          <w:i/>
        </w:rPr>
        <w:t xml:space="preserve">Заполняется отдельным файл</w:t>
      </w:r>
      <w:r>
        <w:rPr>
          <w:b/>
          <w:i/>
        </w:rPr>
        <w:t xml:space="preserve">ом в формате Excel по форме согласно приложению «Анкета». На ЭП размещается файл в формате Excel</w:t>
      </w:r>
      <w:r>
        <w:rPr>
          <w:b/>
          <w:i/>
        </w:rPr>
      </w:r>
    </w:p>
    <w:p>
      <w:r/>
      <w:r/>
    </w:p>
    <w:p>
      <w:r/>
      <w:r/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Инструкции по заполнению</w:t>
      </w:r>
      <w:r>
        <w:rPr>
          <w:b/>
          <w:sz w:val="20"/>
          <w:szCs w:val="20"/>
        </w:rPr>
      </w:r>
    </w:p>
    <w:p>
      <w:pPr>
        <w:pStyle w:val="1495"/>
        <w:numPr>
          <w:ilvl w:val="0"/>
          <w:numId w:val="38"/>
        </w:numPr>
        <w:ind w:left="0" w:firstLine="284"/>
        <w:jc w:val="both"/>
        <w:tabs>
          <w:tab w:val="left" w:pos="-142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38"/>
        </w:numPr>
        <w:ind w:left="0" w:firstLine="284"/>
        <w:jc w:val="both"/>
        <w:tabs>
          <w:tab w:val="left" w:pos="-142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закупки, являющийся юридически</w:t>
      </w:r>
      <w:r>
        <w:rPr>
          <w:sz w:val="20"/>
          <w:szCs w:val="20"/>
        </w:rPr>
        <w:t xml:space="preserve">м лицом, должен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индивидуальный предприниматель, указывает полностью фамилию, имя, отчество, па</w:t>
      </w:r>
      <w:r>
        <w:rPr>
          <w:sz w:val="20"/>
          <w:szCs w:val="20"/>
        </w:rPr>
        <w:t xml:space="preserve">спортные данные, адрес прописки (индивидуальный предприниматель – адрес регистрации).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38"/>
        </w:numPr>
        <w:ind w:left="0" w:firstLine="284"/>
        <w:jc w:val="both"/>
        <w:tabs>
          <w:tab w:val="left" w:pos="-142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Участники закупки должны заполнить приведенную выше таблицу по всем позициям. В случае отсутствия каких-либо данных указать слово «нет».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38"/>
        </w:numPr>
        <w:ind w:left="0" w:firstLine="284"/>
        <w:jc w:val="both"/>
        <w:tabs>
          <w:tab w:val="left" w:pos="-142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При заполнении в форме Анкеты п.6</w:t>
      </w:r>
      <w:r>
        <w:rPr>
          <w:sz w:val="20"/>
          <w:szCs w:val="20"/>
        </w:rPr>
        <w:t xml:space="preserve"> «Публичность» в графе «Сведения» участник процедуры должен в утвердительной или отрицательной форме отвечать на вопрос является ли компания публичной, т.е. «Да» или «Нет».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38"/>
        </w:numPr>
        <w:ind w:left="0" w:firstLine="284"/>
        <w:jc w:val="both"/>
        <w:tabs>
          <w:tab w:val="left" w:pos="-142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Признаком публичности компаний является выпуск ими в обращение акций, предлагаемых </w:t>
      </w:r>
      <w:r>
        <w:rPr>
          <w:sz w:val="20"/>
          <w:szCs w:val="20"/>
        </w:rPr>
        <w:t xml:space="preserve">для приобретения неограниченному кругу лиц и/или свободно обращаемых на фондовом рынке. По данному признаку к публичным компаниям относятся открытые акционерные общества.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38"/>
        </w:numPr>
        <w:ind w:left="0" w:firstLine="284"/>
        <w:jc w:val="both"/>
        <w:tabs>
          <w:tab w:val="left" w:pos="-142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В форме 5.2. Участник должен указать сведения о цепочке собственников участника закуп</w:t>
      </w:r>
      <w:r>
        <w:rPr>
          <w:sz w:val="20"/>
          <w:szCs w:val="20"/>
        </w:rPr>
        <w:t xml:space="preserve">очной процедуры, включая бенефициаров (в том числе конечных). Под информацией о цепочке собственников подразумеваются: данные об участниках; в отношении участников, являющихся юридическими лицами, данные об их участниках и т.д.), включая бенефициаров (в то</w:t>
      </w:r>
      <w:r>
        <w:rPr>
          <w:sz w:val="20"/>
          <w:szCs w:val="20"/>
        </w:rPr>
        <w:t xml:space="preserve">м числе конечных), а также сведений о составе исполнительных органов</w:t>
      </w:r>
      <w:r>
        <w:rPr>
          <w:sz w:val="20"/>
          <w:szCs w:val="20"/>
        </w:rPr>
      </w:r>
    </w:p>
    <w:p>
      <w:pPr>
        <w:ind w:left="567" w:firstLine="284"/>
        <w:tabs>
          <w:tab w:val="left" w:pos="567" w:leader="none"/>
        </w:tabs>
      </w:pPr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1115"/>
        <w:numPr>
          <w:ilvl w:val="0"/>
          <w:numId w:val="60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392" w:name="_Toc165623803"/>
      <w:r/>
      <w:bookmarkStart w:id="393" w:name="_Toc164871208"/>
      <w:r/>
      <w:bookmarkStart w:id="394" w:name="_Toc243045085"/>
      <w:r>
        <w:rPr>
          <w:sz w:val="24"/>
          <w:szCs w:val="24"/>
        </w:rPr>
        <w:t xml:space="preserve">2.   Справка о цепочке собственников</w:t>
      </w:r>
      <w:bookmarkEnd w:id="392"/>
      <w:r/>
      <w:bookmarkEnd w:id="393"/>
      <w:r/>
      <w:bookmarkEnd w:id="394"/>
      <w:r/>
      <w:r>
        <w:rPr>
          <w:sz w:val="24"/>
          <w:szCs w:val="24"/>
        </w:rPr>
      </w:r>
    </w:p>
    <w:p>
      <w:r/>
      <w:r/>
    </w:p>
    <w:p>
      <w:pPr>
        <w:rPr>
          <w:b/>
          <w:i/>
        </w:rPr>
      </w:pPr>
      <w:r>
        <w:rPr>
          <w:b/>
          <w:i/>
        </w:rPr>
        <w:t xml:space="preserve">Заполняется отдельным файлом в формате Excel по форме согласно приложению «Справка о цепочке собственников». На ЭП размещается файл в формате Excel</w:t>
      </w:r>
      <w:r>
        <w:rPr>
          <w:b/>
          <w:i/>
        </w:rPr>
      </w:r>
    </w:p>
    <w:p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*             В отношении контрагентов, являющихся зарубежными публичными компаниями мирового уровня, а так</w:t>
      </w:r>
      <w:r>
        <w:rPr>
          <w:sz w:val="20"/>
          <w:szCs w:val="20"/>
        </w:rPr>
        <w:t xml:space="preserve">же публичных акционерных обществ, чьи акции котируются на биржах, либо с числом акционеров более 50 указываются данные о бенефициарах (в том числе конечных) и акционерах, владеющих более 5 % акций указанных обществ либо размещается прямая ссылка на общедос</w:t>
      </w:r>
      <w:r>
        <w:rPr>
          <w:sz w:val="20"/>
          <w:szCs w:val="20"/>
        </w:rPr>
        <w:t xml:space="preserve">тупный источник, посредством которого может быть установлена соответствующая информация. В отношении акционеров, владеющих пакетами акций менее 5 %, допускается указание общей информации о количестве таких акционеров.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Изменение формы справки недопустимо.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Указывается полное наименование юридического лица с расшифровкой его организационно-правовой формы.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Графы (поля) таблицы должны содержать информацию, касающуюся только этой графы (поля).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В случае, если одним или несколькими участниками / учредителями / акц</w:t>
      </w:r>
      <w:r>
        <w:rPr>
          <w:sz w:val="20"/>
          <w:szCs w:val="20"/>
        </w:rPr>
        <w:t xml:space="preserve">ионерами контрагента являются юридические лица, то в зависимости от организационно-правовой формы, необходимо раскрыть цепочку их участников/учредителей/акционеров с соблюдением нумерации, и представить копии подтверждающих документов для всей цепочки с их</w:t>
      </w:r>
      <w:r>
        <w:rPr>
          <w:sz w:val="20"/>
          <w:szCs w:val="20"/>
        </w:rPr>
        <w:t xml:space="preserve"> указанием, с учетом п. 1.2.г) Приложения 2 к части </w:t>
      </w:r>
      <w:r>
        <w:rPr>
          <w:sz w:val="20"/>
          <w:szCs w:val="20"/>
          <w:lang w:val="en-US"/>
        </w:rPr>
        <w:t xml:space="preserve">II</w:t>
      </w:r>
      <w:r>
        <w:rPr>
          <w:sz w:val="20"/>
          <w:szCs w:val="20"/>
        </w:rPr>
        <w:t xml:space="preserve"> «Информационная карта» документации о закупке.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При заполнении паспортных данных указывается только серия и номер паспорта в формате ХХХХ ХХХХХХ.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**          1.1, 1.2. и т.д. - собственники участника (</w:t>
      </w:r>
      <w:r>
        <w:rPr>
          <w:sz w:val="20"/>
          <w:szCs w:val="20"/>
        </w:rPr>
        <w:t xml:space="preserve">собственники первого уровня)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             1.1.1, 1.1.2, 1.1.3 - собственники организации 1.1 (собственники организации второго уровня) и далее - по аналогичной схеме до конечного бенефициарного собственника (пример 1.1.3.1)</w:t>
      </w:r>
      <w:r>
        <w:rPr>
          <w:sz w:val="20"/>
          <w:szCs w:val="20"/>
        </w:rPr>
      </w:r>
    </w:p>
    <w:p>
      <w:r>
        <w:rPr>
          <w:sz w:val="20"/>
          <w:szCs w:val="20"/>
        </w:rPr>
        <w:t xml:space="preserve">***        в качестве подтвержда</w:t>
      </w:r>
      <w:r>
        <w:rPr>
          <w:sz w:val="20"/>
          <w:szCs w:val="20"/>
        </w:rPr>
        <w:t xml:space="preserve">ющего документа могут быть представлены, например, выписка из ЕГРЮЛ, ЕГРИП, решение (протокол) о назначении исполнительного органа, выписка из реестра акционеров (список лиц, зарегистрированных в реестре владельцев ценных бумаг) и т.п</w:t>
      </w:r>
      <w:r>
        <w:t xml:space="preserve">.</w:t>
      </w:r>
      <w:r/>
    </w:p>
    <w:p>
      <w:pPr>
        <w:sectPr>
          <w:footnotePr/>
          <w:endnotePr/>
          <w:type w:val="nextPage"/>
          <w:pgSz w:w="11909" w:h="16834" w:orient="portrait"/>
          <w:pgMar w:top="1134" w:right="850" w:bottom="1134" w:left="1701" w:header="720" w:footer="567" w:gutter="0"/>
          <w:cols w:num="1" w:sep="0" w:space="60" w:equalWidth="1"/>
          <w:docGrid w:linePitch="360"/>
        </w:sectPr>
      </w:pPr>
      <w:r/>
      <w:r/>
    </w:p>
    <w:p>
      <w:pPr>
        <w:pStyle w:val="1115"/>
        <w:numPr>
          <w:ilvl w:val="0"/>
          <w:numId w:val="60"/>
        </w:numPr>
        <w:ind w:left="0" w:firstLine="0"/>
        <w:jc w:val="both"/>
        <w:tabs>
          <w:tab w:val="left" w:pos="1276" w:leader="none"/>
        </w:tabs>
        <w:rPr>
          <w:sz w:val="24"/>
          <w:szCs w:val="24"/>
        </w:rPr>
      </w:pPr>
      <w:r/>
      <w:bookmarkStart w:id="395" w:name="_Toc128581616"/>
      <w:r/>
      <w:bookmarkStart w:id="396" w:name="_Toc147822433"/>
      <w:r/>
      <w:bookmarkStart w:id="397" w:name="_Toc154488712"/>
      <w:r/>
      <w:bookmarkStart w:id="398" w:name="_Toc77067243"/>
      <w:r/>
      <w:bookmarkStart w:id="399" w:name="_Toc98146385"/>
      <w:r/>
      <w:bookmarkStart w:id="400" w:name="_Toc116983303"/>
      <w:r/>
      <w:bookmarkStart w:id="401" w:name="_Toc243045086"/>
      <w:r>
        <w:rPr>
          <w:sz w:val="24"/>
          <w:szCs w:val="24"/>
        </w:rPr>
        <w:t xml:space="preserve">1. Справ</w:t>
      </w:r>
      <w:r>
        <w:rPr>
          <w:sz w:val="24"/>
          <w:szCs w:val="24"/>
        </w:rPr>
        <w:t xml:space="preserve">ка о наличии опыта выполнения работ по созданию и/или внедрению и/или доработке и/или развитию и/или модернизации автоматизированной системы управления персоналом (включая процесс расчета заработной платы) для нужд компании, являющейся субъектом критическо</w:t>
      </w:r>
      <w:r>
        <w:rPr>
          <w:sz w:val="24"/>
          <w:szCs w:val="24"/>
        </w:rPr>
        <w:t xml:space="preserve">й информационной инфраструктуры, за последние три года</w:t>
      </w:r>
      <w:bookmarkEnd w:id="401"/>
      <w:r/>
      <w:r>
        <w:rPr>
          <w:sz w:val="24"/>
          <w:szCs w:val="24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Участник закупки: ________________________________                           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5"/>
        <w:gridCol w:w="2030"/>
        <w:gridCol w:w="1883"/>
        <w:gridCol w:w="1344"/>
        <w:gridCol w:w="1763"/>
        <w:gridCol w:w="1763"/>
      </w:tblGrid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pStyle w:val="1495"/>
              <w:numPr>
                <w:ilvl w:val="0"/>
                <w:numId w:val="48"/>
              </w:numPr>
              <w:ind w:right="-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выполнения (год и месяц начала выполнения - год и месяц фактического окончания выполнения)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Заказчик (наименование, адрес, контактное лицо с указанием должности, контактные телефоны)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договора (состав работ, услуг)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vAlign w:val="center"/>
            <w:textDirection w:val="lrTb"/>
            <w:noWrap w:val="false"/>
          </w:tcPr>
          <w:p>
            <w:pPr>
              <w:ind w:firstLin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договора, руб.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vAlign w:val="center"/>
            <w:textDirection w:val="lrTb"/>
            <w:noWrap w:val="false"/>
          </w:tcPr>
          <w:p>
            <w:pPr>
              <w:ind w:firstLin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</w:t>
            </w:r>
            <w:r>
              <w:rPr>
                <w:sz w:val="20"/>
                <w:szCs w:val="20"/>
              </w:rPr>
              <w:t xml:space="preserve">дения о рекламациях по перечисленным договорам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2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2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ind w:right="-2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             ___________________________________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(подпись)                              (фамилия, имя, отчество подписавшего, должность)</w:t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М.П.</w:t>
      </w:r>
      <w:r>
        <w:rPr>
          <w:b/>
          <w:sz w:val="20"/>
          <w:szCs w:val="20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  <w:bCs/>
          <w:sz w:val="20"/>
        </w:rPr>
      </w:pPr>
      <w:r>
        <w:rPr>
          <w:b/>
          <w:bCs/>
          <w:sz w:val="20"/>
        </w:rPr>
        <w:t xml:space="preserve">Инструкции по заполнению</w:t>
      </w:r>
      <w:r>
        <w:rPr>
          <w:b/>
          <w:bCs/>
          <w:sz w:val="20"/>
        </w:rPr>
      </w:r>
    </w:p>
    <w:p>
      <w:pPr>
        <w:ind w:firstLine="284"/>
        <w:tabs>
          <w:tab w:val="left" w:pos="567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1.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  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</w:t>
      </w:r>
      <w:r>
        <w:rPr>
          <w:sz w:val="20"/>
          <w:szCs w:val="20"/>
        </w:rPr>
        <w:t xml:space="preserve">частник закупки, являющийся индивидуальным предпринимателем, указывает полностью фамилию, имя, отчество, паспортные данные, адрес регистрации. 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 Участник закупки может самостоятельно выбрать договоры, которые, по его мнению, наилучшим образом характеризу</w:t>
      </w:r>
      <w:r>
        <w:rPr>
          <w:sz w:val="20"/>
          <w:szCs w:val="20"/>
        </w:rPr>
        <w:t xml:space="preserve">ет его опыт.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  <w:sectPr>
          <w:headerReference w:type="first" r:id="rId11"/>
          <w:footnotePr/>
          <w:endnotePr/>
          <w:type w:val="nextPage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115"/>
        <w:numPr>
          <w:ilvl w:val="0"/>
          <w:numId w:val="61"/>
        </w:numPr>
        <w:ind w:left="0" w:firstLine="0"/>
        <w:jc w:val="both"/>
        <w:tabs>
          <w:tab w:val="left" w:pos="1276" w:leader="none"/>
        </w:tabs>
      </w:pPr>
      <w:r/>
      <w:bookmarkStart w:id="402" w:name="_Toc243045087"/>
      <w:r>
        <w:rPr>
          <w:sz w:val="24"/>
          <w:szCs w:val="24"/>
        </w:rPr>
        <w:t xml:space="preserve">2. Справка для оценки опыта исполнения за последние 3 (три) года договоров по созданию и/или внедрению и/или доработке и/или развитию и/или модернизации автоматизированной системы управления персоналом (включая процесс расчета за</w:t>
      </w:r>
      <w:r>
        <w:rPr>
          <w:sz w:val="24"/>
          <w:szCs w:val="24"/>
        </w:rPr>
        <w:t xml:space="preserve">работной платы) для нужд компаний электросетевого комплекса</w:t>
      </w:r>
      <w:bookmarkEnd w:id="402"/>
      <w:r/>
      <w:r/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Участник закупки: ________________________________                           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5"/>
        <w:gridCol w:w="2030"/>
        <w:gridCol w:w="1883"/>
        <w:gridCol w:w="1344"/>
        <w:gridCol w:w="1763"/>
        <w:gridCol w:w="1763"/>
      </w:tblGrid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pStyle w:val="1495"/>
              <w:numPr>
                <w:ilvl w:val="0"/>
                <w:numId w:val="54"/>
              </w:numPr>
              <w:ind w:right="-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выполнения (год и месяц начала выполнения - год и месяц фактического окончания выполнения)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Заказчик (наименов</w:t>
            </w:r>
            <w:r>
              <w:rPr>
                <w:sz w:val="20"/>
                <w:szCs w:val="20"/>
              </w:rPr>
              <w:t xml:space="preserve">ание, адрес, контактное лицо с указанием должности, контактные телефоны)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договора (состав работ, услуг)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vAlign w:val="center"/>
            <w:textDirection w:val="lrTb"/>
            <w:noWrap w:val="false"/>
          </w:tcPr>
          <w:p>
            <w:pPr>
              <w:ind w:firstLin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договора, руб.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vAlign w:val="center"/>
            <w:textDirection w:val="lrTb"/>
            <w:noWrap w:val="false"/>
          </w:tcPr>
          <w:p>
            <w:pPr>
              <w:ind w:firstLin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рекламациях по перечисленным договорам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2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2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ind w:right="-2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             ___________________________________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(подпись)                              (фамилия, имя, отчество подписавшего, должность)</w:t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М.П.</w:t>
      </w:r>
      <w:r>
        <w:rPr>
          <w:b/>
          <w:sz w:val="20"/>
          <w:szCs w:val="20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  <w:bCs/>
          <w:sz w:val="20"/>
        </w:rPr>
      </w:pPr>
      <w:r>
        <w:rPr>
          <w:b/>
          <w:bCs/>
          <w:sz w:val="20"/>
        </w:rPr>
        <w:t xml:space="preserve">Инструкции по заполнению</w:t>
      </w:r>
      <w:r>
        <w:rPr>
          <w:b/>
          <w:bCs/>
          <w:sz w:val="20"/>
        </w:rPr>
      </w:r>
    </w:p>
    <w:p>
      <w:pPr>
        <w:ind w:firstLine="284"/>
        <w:tabs>
          <w:tab w:val="left" w:pos="567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1.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  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</w:t>
      </w:r>
      <w:r>
        <w:rPr>
          <w:sz w:val="20"/>
          <w:szCs w:val="20"/>
        </w:rPr>
        <w:t xml:space="preserve">частник закупки, являющийся индивидуальным предпринимателем, указывает полностью фамилию, имя, отчество, паспортные данные, адрес регистрации. 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 Участник закупки может самостоятельно выбрать договоры, которые, по его мнению, наилучшим образом характеризу</w:t>
      </w:r>
      <w:r>
        <w:rPr>
          <w:sz w:val="20"/>
          <w:szCs w:val="20"/>
        </w:rPr>
        <w:t xml:space="preserve">ет его опыт.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spacing w:after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spacing w:after="0"/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</w:p>
    <w:p>
      <w:pPr>
        <w:pStyle w:val="1115"/>
        <w:numPr>
          <w:ilvl w:val="0"/>
          <w:numId w:val="66"/>
        </w:numPr>
        <w:ind w:left="0" w:firstLine="0"/>
        <w:jc w:val="both"/>
        <w:tabs>
          <w:tab w:val="left" w:pos="1276" w:leader="none"/>
        </w:tabs>
        <w:rPr>
          <w:sz w:val="24"/>
          <w:szCs w:val="24"/>
        </w:rPr>
      </w:pPr>
      <w:r/>
      <w:bookmarkStart w:id="403" w:name="_Toc243045088"/>
      <w:r>
        <w:rPr>
          <w:sz w:val="24"/>
          <w:szCs w:val="24"/>
        </w:rPr>
        <w:t xml:space="preserve">3. Справка для оценки опыта исполнения за последние 3 (три) года договоров по созданию и/или внедрению и/или разработке и/или развитию и/или модернизации и/или расширению информационных и/или автоматизированных систем управления на базе пр</w:t>
      </w:r>
      <w:r>
        <w:rPr>
          <w:sz w:val="24"/>
          <w:szCs w:val="24"/>
        </w:rPr>
        <w:t xml:space="preserve">ограммного обеспечения, включенного в Единый реестр российских программ для электронных вычислительных машин и баз данных для нужд компаний, имеющих территориально распределенную сеть филиалов (от 3 филиалов и более)</w:t>
      </w:r>
      <w:bookmarkEnd w:id="403"/>
      <w:r/>
      <w:r>
        <w:rPr>
          <w:sz w:val="24"/>
          <w:szCs w:val="24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Участник закупки: ____________________</w:t>
      </w:r>
      <w:r>
        <w:rPr>
          <w:sz w:val="22"/>
          <w:szCs w:val="22"/>
        </w:rPr>
        <w:t xml:space="preserve">____________                           </w:t>
      </w:r>
      <w:r>
        <w:rPr>
          <w:sz w:val="22"/>
          <w:szCs w:val="22"/>
        </w:rPr>
      </w:r>
    </w:p>
    <w:p>
      <w:pPr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5"/>
        <w:gridCol w:w="2030"/>
        <w:gridCol w:w="1883"/>
        <w:gridCol w:w="1344"/>
        <w:gridCol w:w="1763"/>
        <w:gridCol w:w="1763"/>
      </w:tblGrid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pStyle w:val="1495"/>
              <w:numPr>
                <w:ilvl w:val="0"/>
                <w:numId w:val="54"/>
              </w:numPr>
              <w:ind w:right="-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выполнения (год и месяц начала выполнения - год и месяц фактического окончания выполнения)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Заказчик (наименование, адрес, контактное лицо с указанием должности, контактные телефоны)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Описание договора (состав работ, услуг)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vAlign w:val="center"/>
            <w:textDirection w:val="lrTb"/>
            <w:noWrap w:val="false"/>
          </w:tcPr>
          <w:p>
            <w:pPr>
              <w:ind w:firstLin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договора, руб.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vAlign w:val="center"/>
            <w:textDirection w:val="lrTb"/>
            <w:noWrap w:val="false"/>
          </w:tcPr>
          <w:p>
            <w:pPr>
              <w:ind w:firstLine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рекламациях по перечисленным договорам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2" w:type="pct"/>
            <w:textDirection w:val="lrTb"/>
            <w:noWrap w:val="false"/>
          </w:tcPr>
          <w:p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2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ind w:right="-2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за полный год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ind w:right="-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2" w:type="pct"/>
            <w:vAlign w:val="center"/>
            <w:textDirection w:val="lrTb"/>
            <w:noWrap w:val="false"/>
          </w:tcPr>
          <w:p>
            <w:pPr>
              <w:ind w:right="-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…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8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07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9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cantSplit/>
          <w:trHeight w:val="227"/>
        </w:trPr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4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43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</w:t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             ___________________________________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(подпись)                              (фамилия, имя, отчество подписавшего, должность)</w:t>
      </w:r>
      <w:r>
        <w:rPr>
          <w:sz w:val="20"/>
          <w:szCs w:val="20"/>
        </w:rPr>
      </w:r>
    </w:p>
    <w:p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М.П.</w:t>
      </w:r>
      <w:r>
        <w:rPr>
          <w:b/>
          <w:sz w:val="20"/>
          <w:szCs w:val="20"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rPr>
          <w:b/>
          <w:bCs/>
          <w:sz w:val="20"/>
        </w:rPr>
      </w:pPr>
      <w:r>
        <w:rPr>
          <w:b/>
          <w:bCs/>
          <w:sz w:val="20"/>
        </w:rPr>
        <w:t xml:space="preserve">Инструкции по заполнению</w:t>
      </w:r>
      <w:r>
        <w:rPr>
          <w:b/>
          <w:bCs/>
          <w:sz w:val="20"/>
        </w:rPr>
      </w:r>
    </w:p>
    <w:p>
      <w:pPr>
        <w:ind w:firstLine="284"/>
        <w:tabs>
          <w:tab w:val="left" w:pos="567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1.</w:t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2.  Участник закупки, являющийся юридическим лицом, должен указать свое полное наименование (с указанием организационно-правовой формы) и адрес место нахождения. У</w:t>
      </w:r>
      <w:r>
        <w:rPr>
          <w:sz w:val="20"/>
          <w:szCs w:val="20"/>
        </w:rPr>
        <w:t xml:space="preserve">частник закупки, являющийся индивидуальным предпринимателем, указывает полностью фамилию, имя, отчество, паспортные данные, адрес регистрации. 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3. Участник закупки может самостоятельно выбрать договоры, которые, по его мнению, наилучшим образом характеризу</w:t>
      </w:r>
      <w:r>
        <w:rPr>
          <w:sz w:val="20"/>
          <w:szCs w:val="20"/>
        </w:rPr>
        <w:t xml:space="preserve">ет его опыт.</w:t>
      </w:r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  <w:sectPr>
          <w:footnotePr/>
          <w:endnotePr/>
          <w:type w:val="nextPage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115"/>
        <w:numPr>
          <w:ilvl w:val="0"/>
          <w:numId w:val="66"/>
        </w:numPr>
        <w:ind w:left="0" w:firstLine="0"/>
        <w:tabs>
          <w:tab w:val="left" w:pos="1276" w:leader="none"/>
        </w:tabs>
        <w:rPr>
          <w:sz w:val="24"/>
          <w:szCs w:val="24"/>
        </w:rPr>
      </w:pPr>
      <w:r/>
      <w:bookmarkStart w:id="404" w:name="_Toc222497473"/>
      <w:r/>
      <w:bookmarkStart w:id="405" w:name="_Toc234318313"/>
      <w:r/>
      <w:bookmarkStart w:id="406" w:name="_Toc243045089"/>
      <w:r>
        <w:rPr>
          <w:sz w:val="24"/>
          <w:szCs w:val="24"/>
        </w:rPr>
        <w:t xml:space="preserve">Справка о привлекаемых кадровых ресурсах</w:t>
      </w:r>
      <w:bookmarkEnd w:id="404"/>
      <w:r/>
      <w:bookmarkEnd w:id="405"/>
      <w:r/>
      <w:bookmarkEnd w:id="406"/>
      <w:r/>
      <w:r>
        <w:rPr>
          <w:sz w:val="24"/>
          <w:szCs w:val="24"/>
        </w:rPr>
      </w:r>
    </w:p>
    <w:p>
      <w:pPr>
        <w:ind w:left="1276" w:hanging="1276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rPr>
          <w:bCs/>
          <w:i/>
          <w:sz w:val="22"/>
          <w:szCs w:val="22"/>
        </w:rPr>
      </w:pPr>
      <w:r>
        <w:t xml:space="preserve">Участник закупки: ________________________________                        </w:t>
      </w:r>
      <w:r>
        <w:rPr>
          <w:bCs/>
          <w:i/>
          <w:sz w:val="22"/>
          <w:szCs w:val="22"/>
        </w:rPr>
      </w:r>
    </w:p>
    <w:p>
      <w:r/>
      <w:r/>
    </w:p>
    <w:tbl>
      <w:tblPr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687"/>
        <w:gridCol w:w="2944"/>
        <w:gridCol w:w="642"/>
        <w:gridCol w:w="2010"/>
        <w:gridCol w:w="1298"/>
        <w:gridCol w:w="1761"/>
      </w:tblGrid>
      <w:tr>
        <w:tblPrEx/>
        <w:trPr>
          <w:trHeight w:val="551"/>
          <w:tblHeader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09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61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Персонал, (специальность, разряд)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8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Кол-во, чел.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17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Принадлежность персонала (генподрядчик, субподрядчик, член колле</w:t>
            </w:r>
            <w:r>
              <w:rPr>
                <w:sz w:val="20"/>
                <w:szCs w:val="20"/>
              </w:rPr>
              <w:t xml:space="preserve">ктивного участника)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Примечания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Подтверждающие документы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09" w:type="pct"/>
            <w:textDirection w:val="lrTb"/>
            <w:noWrap w:val="false"/>
          </w:tcPr>
          <w:p>
            <w:pPr>
              <w:ind w:left="-42" w:right="-28"/>
              <w:spacing w:after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1</w:t>
            </w:r>
            <w:r>
              <w:rPr>
                <w:color w:val="000000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617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85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17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09" w:type="pct"/>
            <w:textDirection w:val="lrTb"/>
            <w:noWrap w:val="false"/>
          </w:tcPr>
          <w:p>
            <w:pPr>
              <w:ind w:left="-42" w:right="-28"/>
              <w:spacing w:after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</w:t>
            </w:r>
            <w:r>
              <w:rPr>
                <w:color w:val="000000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617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85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17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09" w:type="pct"/>
            <w:textDirection w:val="lrTb"/>
            <w:noWrap w:val="false"/>
          </w:tcPr>
          <w:p>
            <w:pPr>
              <w:ind w:left="-42" w:right="-28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617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85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17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09" w:type="pct"/>
            <w:textDirection w:val="lrTb"/>
            <w:noWrap w:val="false"/>
          </w:tcPr>
          <w:p>
            <w:pPr>
              <w:ind w:left="-42" w:right="-28"/>
              <w:spacing w:after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617" w:type="pct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85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17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409" w:type="pct"/>
            <w:textDirection w:val="lrTb"/>
            <w:noWrap w:val="false"/>
          </w:tcPr>
          <w:p>
            <w:pPr>
              <w:ind w:left="-42" w:right="-28"/>
              <w:spacing w:after="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</w:r>
            <w:r>
              <w:rPr>
                <w:color w:val="000000"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617" w:type="pc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85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17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36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400"/>
        <w:jc w:val="right"/>
        <w:widowControl w:val="off"/>
      </w:pPr>
      <w:r/>
      <w:r/>
    </w:p>
    <w:p>
      <w:r>
        <w:t xml:space="preserve">___________________________________                 ______________________</w:t>
      </w:r>
      <w:r/>
    </w:p>
    <w:p>
      <w:pPr>
        <w:rPr>
          <w:vertAlign w:val="superscript"/>
        </w:rPr>
      </w:pPr>
      <w:r>
        <w:t xml:space="preserve"> </w:t>
      </w:r>
      <w:r>
        <w:rPr>
          <w:vertAlign w:val="superscript"/>
        </w:rPr>
        <w:t xml:space="preserve">(Подпись уполномоченного представителя)   </w:t>
      </w:r>
      <w:r>
        <w:rPr>
          <w:vertAlign w:val="superscript"/>
        </w:rPr>
        <w:t xml:space="preserve">                                               (Имя и должность подписавшего)</w:t>
      </w:r>
      <w:r>
        <w:rPr>
          <w:vertAlign w:val="superscript"/>
        </w:rPr>
      </w:r>
    </w:p>
    <w:p>
      <w:pPr>
        <w:rPr>
          <w:b/>
        </w:rPr>
      </w:pPr>
      <w:r>
        <w:rPr>
          <w:b/>
        </w:rPr>
        <w:t xml:space="preserve">М.П.</w:t>
      </w:r>
      <w:r>
        <w:rPr>
          <w:b/>
        </w:rPr>
      </w:r>
    </w:p>
    <w:p>
      <w:pPr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rPr>
          <w:b/>
          <w:bCs/>
          <w:sz w:val="20"/>
        </w:rPr>
      </w:pPr>
      <w:r>
        <w:rPr>
          <w:b/>
          <w:sz w:val="20"/>
        </w:rPr>
        <w:t xml:space="preserve">Инструкции по заполнению</w:t>
      </w:r>
      <w:r>
        <w:rPr>
          <w:b/>
          <w:bCs/>
          <w:sz w:val="20"/>
        </w:rPr>
      </w:r>
    </w:p>
    <w:p>
      <w:pPr>
        <w:pStyle w:val="1495"/>
        <w:numPr>
          <w:ilvl w:val="0"/>
          <w:numId w:val="57"/>
        </w:numPr>
        <w:ind w:left="0" w:firstLine="360"/>
        <w:jc w:val="both"/>
        <w:tabs>
          <w:tab w:val="left" w:pos="709" w:leader="none"/>
          <w:tab w:val="left" w:pos="993" w:leader="none"/>
        </w:tabs>
        <w:rPr>
          <w:bCs/>
          <w:sz w:val="20"/>
          <w:szCs w:val="20"/>
        </w:rPr>
      </w:pPr>
      <w:r>
        <w:rPr>
          <w:sz w:val="20"/>
          <w:szCs w:val="20"/>
        </w:rPr>
        <w:t xml:space="preserve">Данные инструкции не следует воспроизводить в документах, подготовленных Участником закупки.</w:t>
      </w:r>
      <w:r>
        <w:rPr>
          <w:bCs/>
          <w:sz w:val="20"/>
          <w:szCs w:val="20"/>
        </w:rPr>
      </w:r>
    </w:p>
    <w:p>
      <w:pPr>
        <w:pStyle w:val="1495"/>
        <w:numPr>
          <w:ilvl w:val="0"/>
          <w:numId w:val="57"/>
        </w:numPr>
        <w:ind w:left="0" w:firstLine="360"/>
        <w:jc w:val="both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Участник закупки, являющийся юридическим лицом, долже</w:t>
      </w:r>
      <w:r>
        <w:rPr>
          <w:sz w:val="20"/>
          <w:szCs w:val="20"/>
        </w:rPr>
        <w:t xml:space="preserve">н указать свое полное наименование (с указанием организационно-правовой формы) и адрес место нахождения. Участник закупки, являющийся физическим лицом, в том числе индивидуальным предпринимателем, указывает полностью фамилию, имя, отчество, паспортные данн</w:t>
      </w:r>
      <w:r>
        <w:rPr>
          <w:sz w:val="20"/>
          <w:szCs w:val="20"/>
        </w:rPr>
        <w:t xml:space="preserve">ые, адрес прописки (индивидуальный предприниматель – адрес регистрации).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57"/>
        </w:numPr>
        <w:ind w:left="0" w:firstLine="360"/>
        <w:jc w:val="both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В справке указываются сведения только о персонале необходимом для осуществления оценки заявки Участника согласно п 5 Приложения 1 к части II Информационная карта закупки</w:t>
      </w:r>
      <w:r>
        <w:rPr>
          <w:sz w:val="20"/>
          <w:szCs w:val="20"/>
        </w:rPr>
      </w:r>
    </w:p>
    <w:p>
      <w:pPr>
        <w:pStyle w:val="1495"/>
        <w:numPr>
          <w:ilvl w:val="0"/>
          <w:numId w:val="57"/>
        </w:numPr>
        <w:ind w:left="0" w:firstLine="360"/>
        <w:jc w:val="both"/>
        <w:tabs>
          <w:tab w:val="left" w:pos="709" w:leader="none"/>
          <w:tab w:val="left" w:pos="993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Для подтвержд</w:t>
      </w:r>
      <w:r>
        <w:rPr>
          <w:sz w:val="20"/>
          <w:szCs w:val="20"/>
        </w:rPr>
        <w:t xml:space="preserve">ения информации, указанной Участниками в данной форме, необходимо приложить подтверждающие материалы согласно п. 5 Приложения 1 к части II</w:t>
      </w:r>
      <w:bookmarkStart w:id="407" w:name="_Toc222497474"/>
      <w:r/>
      <w:bookmarkStart w:id="408" w:name="_Toc180510497"/>
      <w:r/>
      <w:bookmarkStart w:id="409" w:name="_Toc170818103"/>
      <w:r/>
      <w:bookmarkStart w:id="410" w:name="_Toc82441516"/>
      <w:r/>
      <w:bookmarkStart w:id="411" w:name="_Toc85638228"/>
      <w:r/>
      <w:bookmarkStart w:id="412" w:name="_Toc119873993"/>
      <w:r/>
      <w:bookmarkStart w:id="413" w:name="_Toc129084536"/>
      <w:r/>
      <w:bookmarkStart w:id="414" w:name="_Toc142048087"/>
      <w:r/>
      <w:bookmarkStart w:id="415" w:name="_Toc177033637"/>
      <w:r/>
      <w:bookmarkStart w:id="416" w:name="_Toc216694974"/>
      <w:r/>
      <w:bookmarkStart w:id="417" w:name="_Toc222155411"/>
      <w:r/>
      <w:bookmarkStart w:id="418" w:name="_Toc234318314"/>
      <w:r>
        <w:rPr>
          <w:sz w:val="20"/>
          <w:szCs w:val="20"/>
        </w:rPr>
        <w:t xml:space="preserve"> Информационная карта закупки, в том числе резюме работников 7.1.</w:t>
      </w:r>
      <w:bookmarkEnd w:id="407"/>
      <w:r/>
      <w:bookmarkEnd w:id="408"/>
      <w:r/>
      <w:bookmarkEnd w:id="409"/>
      <w:r/>
      <w:bookmarkEnd w:id="410"/>
      <w:r/>
      <w:bookmarkEnd w:id="411"/>
      <w:r/>
      <w:bookmarkEnd w:id="412"/>
      <w:r/>
      <w:bookmarkEnd w:id="413"/>
      <w:r/>
      <w:bookmarkEnd w:id="414"/>
      <w:r/>
      <w:bookmarkEnd w:id="415"/>
      <w:r/>
      <w:bookmarkEnd w:id="416"/>
      <w:r/>
      <w:bookmarkEnd w:id="417"/>
      <w:r/>
      <w:bookmarkEnd w:id="418"/>
      <w:r/>
      <w:r>
        <w:rPr>
          <w:sz w:val="20"/>
          <w:szCs w:val="20"/>
        </w:rPr>
      </w:r>
    </w:p>
    <w:p>
      <w:pPr>
        <w:ind w:firstLine="284"/>
        <w:tabs>
          <w:tab w:val="left" w:pos="709" w:leader="none"/>
          <w:tab w:val="left" w:pos="993" w:leader="none"/>
        </w:tabs>
        <w:rPr>
          <w:sz w:val="20"/>
          <w:szCs w:val="20"/>
        </w:rPr>
        <w:sectPr>
          <w:footnotePr/>
          <w:endnotePr/>
          <w:type w:val="nextPage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115"/>
        <w:numPr>
          <w:ilvl w:val="0"/>
          <w:numId w:val="62"/>
        </w:numPr>
        <w:ind w:hanging="6031"/>
        <w:tabs>
          <w:tab w:val="left" w:pos="1276" w:leader="none"/>
        </w:tabs>
        <w:rPr>
          <w:sz w:val="24"/>
          <w:szCs w:val="24"/>
        </w:rPr>
      </w:pPr>
      <w:r/>
      <w:bookmarkStart w:id="419" w:name="_Toc243045090"/>
      <w:r>
        <w:rPr>
          <w:sz w:val="24"/>
          <w:szCs w:val="24"/>
        </w:rPr>
        <w:t xml:space="preserve">1. Резюме работника</w:t>
      </w:r>
      <w:bookmarkEnd w:id="419"/>
      <w:r/>
      <w:r>
        <w:rPr>
          <w:sz w:val="24"/>
          <w:szCs w:val="24"/>
        </w:rPr>
      </w:r>
    </w:p>
    <w:p>
      <w:r/>
      <w:r/>
    </w:p>
    <w:p>
      <w:r>
        <w:t xml:space="preserve">Наименование Участника закупки: </w:t>
      </w:r>
      <w:r>
        <w:rPr>
          <w:i/>
          <w:iCs/>
          <w:color w:val="333399"/>
        </w:rPr>
        <w:t xml:space="preserve">(указать краткое наименование)</w:t>
      </w:r>
      <w:r/>
    </w:p>
    <w:p>
      <w:pPr>
        <w:jc w:val="center"/>
        <w:spacing w:before="120"/>
        <w:rPr>
          <w:b/>
        </w:rPr>
      </w:pPr>
      <w:r>
        <w:rPr>
          <w:b/>
        </w:rPr>
        <w:t xml:space="preserve">РЕЗЮМЕ РАБОТНИКА</w:t>
      </w:r>
      <w:r>
        <w:rPr>
          <w:b/>
        </w:rPr>
      </w:r>
    </w:p>
    <w:p>
      <w:pPr>
        <w:ind w:right="-82"/>
        <w:shd w:val="clear" w:color="auto" w:fill="ffc0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РОЛЬ В ПРОЕКТЕ </w:t>
      </w:r>
      <w:r>
        <w:rPr>
          <w:b/>
          <w:bCs/>
          <w:sz w:val="22"/>
          <w:szCs w:val="22"/>
        </w:rPr>
      </w:r>
    </w:p>
    <w:p>
      <w:pPr>
        <w:ind w:right="-79"/>
        <w:rPr>
          <w:bCs/>
          <w:i/>
          <w:color w:val="4f81bd"/>
          <w:sz w:val="22"/>
          <w:szCs w:val="22"/>
        </w:rPr>
      </w:pPr>
      <w:r>
        <w:rPr>
          <w:i/>
          <w:color w:val="4f81bd"/>
          <w:sz w:val="22"/>
          <w:szCs w:val="22"/>
        </w:rPr>
        <w:t xml:space="preserve">Указать</w:t>
      </w:r>
      <w:r>
        <w:rPr>
          <w:bCs/>
          <w:i/>
          <w:color w:val="4f81bd"/>
          <w:sz w:val="22"/>
          <w:szCs w:val="22"/>
        </w:rPr>
      </w:r>
    </w:p>
    <w:p>
      <w:pPr>
        <w:ind w:right="-82"/>
        <w:shd w:val="clear" w:color="auto" w:fill="ffc0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ФАМИЛИЯ ИМЯ ОТЧЕСТВО </w:t>
      </w:r>
      <w:r>
        <w:rPr>
          <w:b/>
          <w:bCs/>
          <w:sz w:val="22"/>
          <w:szCs w:val="22"/>
        </w:rPr>
      </w:r>
    </w:p>
    <w:p>
      <w:pPr>
        <w:ind w:right="-79"/>
        <w:rPr>
          <w:b/>
          <w:bCs/>
          <w:sz w:val="22"/>
          <w:szCs w:val="22"/>
        </w:rPr>
      </w:pPr>
      <w:r/>
      <w:bookmarkStart w:id="420" w:name="_Toc195685236"/>
      <w:r/>
      <w:bookmarkStart w:id="421" w:name="_Toc197665003"/>
      <w:r>
        <w:rPr>
          <w:i/>
          <w:color w:val="4f81bd"/>
          <w:sz w:val="22"/>
          <w:szCs w:val="22"/>
        </w:rPr>
        <w:t xml:space="preserve">Указать</w:t>
      </w:r>
      <w:r>
        <w:rPr>
          <w:b/>
          <w:bCs/>
          <w:sz w:val="22"/>
          <w:szCs w:val="22"/>
        </w:rPr>
      </w:r>
    </w:p>
    <w:p>
      <w:pPr>
        <w:ind w:right="-82"/>
        <w:spacing w:after="120"/>
        <w:shd w:val="clear" w:color="auto" w:fill="ffc0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Общие сведения:</w:t>
      </w:r>
      <w:bookmarkEnd w:id="420"/>
      <w:r/>
      <w:bookmarkEnd w:id="421"/>
      <w:r/>
      <w:r>
        <w:rPr>
          <w:b/>
          <w:bCs/>
          <w:sz w:val="22"/>
          <w:szCs w:val="22"/>
        </w:rPr>
      </w:r>
    </w:p>
    <w:tbl>
      <w:tblPr>
        <w:tblW w:w="4932" w:type="pct"/>
        <w:tblInd w:w="108" w:type="dxa"/>
        <w:tblBorders>
          <w:top w:val="single" w:color="auto" w:sz="4" w:space="0"/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3589"/>
        <w:gridCol w:w="5642"/>
      </w:tblGrid>
      <w:tr>
        <w:tblPrEx/>
        <w:trPr>
          <w:trHeight w:val="45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44" w:type="pct"/>
            <w:vAlign w:val="center"/>
            <w:textDirection w:val="lrTb"/>
            <w:noWrap w:val="false"/>
          </w:tcPr>
          <w:p>
            <w:pPr>
              <w:jc w:val="left"/>
              <w:spacing w:before="60" w:line="21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Образование (наименование высшего заведения, год окончания):</w:t>
            </w:r>
            <w:r>
              <w:rPr>
                <w:i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56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44" w:type="pct"/>
            <w:vAlign w:val="center"/>
            <w:textDirection w:val="lrTb"/>
            <w:noWrap w:val="false"/>
          </w:tcPr>
          <w:p>
            <w:pPr>
              <w:jc w:val="left"/>
              <w:spacing w:before="60" w:line="21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Специальность:</w:t>
            </w:r>
            <w:r>
              <w:rPr>
                <w:i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56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44" w:type="pct"/>
            <w:vAlign w:val="center"/>
            <w:textDirection w:val="lrTb"/>
            <w:noWrap w:val="false"/>
          </w:tcPr>
          <w:p>
            <w:pPr>
              <w:jc w:val="left"/>
              <w:spacing w:before="60" w:line="21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Квалификация по диплому:</w:t>
            </w:r>
            <w:r>
              <w:rPr>
                <w:i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56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</w:tr>
      <w:tr>
        <w:tblPrEx/>
        <w:trPr>
          <w:trHeight w:val="454"/>
        </w:trPr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944" w:type="pct"/>
            <w:vAlign w:val="center"/>
            <w:textDirection w:val="lrTb"/>
            <w:noWrap w:val="false"/>
          </w:tcPr>
          <w:p>
            <w:pPr>
              <w:jc w:val="left"/>
              <w:spacing w:before="60" w:line="21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 xml:space="preserve">Профессиональные сертификаты:</w:t>
            </w:r>
            <w:r>
              <w:rPr>
                <w:i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56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Текстовое описание</w:t>
            </w:r>
            <w:r>
              <w:rPr>
                <w:color w:val="4f81bd"/>
                <w:sz w:val="22"/>
                <w:szCs w:val="22"/>
                <w:lang w:eastAsia="en-US"/>
              </w:rPr>
            </w:r>
          </w:p>
        </w:tc>
      </w:tr>
    </w:tbl>
    <w:p>
      <w:pPr>
        <w:ind w:right="-82"/>
        <w:spacing w:before="120" w:after="120"/>
        <w:shd w:val="clear" w:color="auto" w:fill="ffc0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Трудовая деятельность в рамках длительности требуемого опыта </w:t>
      </w:r>
      <w:r>
        <w:rPr>
          <w:b/>
          <w:bCs/>
          <w:sz w:val="22"/>
          <w:szCs w:val="22"/>
        </w:rPr>
      </w:r>
    </w:p>
    <w:tbl>
      <w:tblPr>
        <w:tblW w:w="4878" w:type="pct"/>
        <w:tblInd w:w="250" w:type="dxa"/>
        <w:tblBorders>
          <w:top w:val="single" w:color="auto" w:sz="4" w:space="0"/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935"/>
        <w:gridCol w:w="1591"/>
        <w:gridCol w:w="3099"/>
        <w:gridCol w:w="3495"/>
      </w:tblGrid>
      <w:tr>
        <w:tblPrEx/>
        <w:trPr>
          <w:cantSplit/>
          <w:trHeight w:val="345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5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i/>
                <w:sz w:val="22"/>
                <w:szCs w:val="22"/>
                <w:lang w:eastAsia="en-US"/>
              </w:rPr>
            </w:pPr>
            <w:r/>
            <w:bookmarkStart w:id="422" w:name="_Toc195685237"/>
            <w:r/>
            <w:bookmarkStart w:id="423" w:name="_Toc197665004"/>
            <w:r/>
            <w:bookmarkStart w:id="424" w:name="_Toc202250369"/>
            <w:r/>
            <w:bookmarkStart w:id="425" w:name="_Toc202253830"/>
            <w:r/>
            <w:bookmarkStart w:id="426" w:name="_Toc203413063"/>
            <w:r/>
            <w:bookmarkStart w:id="427" w:name="_Toc203540449"/>
            <w:r/>
            <w:bookmarkStart w:id="428" w:name="_Toc203937510"/>
            <w:r>
              <w:rPr>
                <w:b/>
                <w:bCs/>
                <w:i/>
                <w:sz w:val="22"/>
                <w:szCs w:val="22"/>
                <w:lang w:eastAsia="en-US"/>
              </w:rPr>
              <w:t xml:space="preserve">Период</w:t>
            </w:r>
            <w:bookmarkEnd w:id="422"/>
            <w:r/>
            <w:bookmarkEnd w:id="423"/>
            <w:r/>
            <w:bookmarkEnd w:id="424"/>
            <w:r/>
            <w:bookmarkEnd w:id="425"/>
            <w:r/>
            <w:bookmarkEnd w:id="426"/>
            <w:r/>
            <w:bookmarkEnd w:id="427"/>
            <w:r/>
            <w:bookmarkEnd w:id="428"/>
            <w:r/>
            <w:r>
              <w:rPr>
                <w:b/>
                <w:bCs/>
                <w:i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9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i/>
                <w:sz w:val="22"/>
                <w:szCs w:val="22"/>
                <w:lang w:eastAsia="en-US"/>
              </w:rPr>
            </w:pPr>
            <w:r>
              <w:rPr>
                <w:b/>
                <w:bCs/>
                <w:i/>
                <w:sz w:val="22"/>
                <w:szCs w:val="22"/>
                <w:lang w:eastAsia="en-US"/>
              </w:rPr>
              <w:t xml:space="preserve">Предприятие</w:t>
            </w:r>
            <w:r>
              <w:rPr>
                <w:b/>
                <w:bCs/>
                <w:i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6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 xml:space="preserve">Занимаемая должность</w:t>
            </w:r>
            <w:r>
              <w:rPr>
                <w:b/>
                <w:i/>
                <w:sz w:val="22"/>
                <w:szCs w:val="22"/>
                <w:u w:val="single"/>
                <w:lang w:eastAsia="en-US"/>
              </w:rPr>
            </w:r>
          </w:p>
        </w:tc>
      </w:tr>
      <w:tr>
        <w:tblPrEx/>
        <w:trPr>
          <w:cantSplit/>
          <w:trHeight w:val="4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мм.гггг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мм.гггг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9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Указать наименование работодателя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58"/>
              </w:numPr>
              <w:ind w:left="252" w:firstLine="0"/>
              <w:jc w:val="left"/>
              <w:spacing w:before="60" w:line="216" w:lineRule="auto"/>
              <w:tabs>
                <w:tab w:val="num" w:pos="252" w:leader="none"/>
              </w:tabs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Указать наименование должности у работодателя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</w:tr>
      <w:tr>
        <w:tblPrEx/>
        <w:trPr>
          <w:cantSplit/>
          <w:trHeight w:val="4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мм.гггг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72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мм.гггг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9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Указать наименование работодателя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16" w:type="pct"/>
            <w:vAlign w:val="center"/>
            <w:textDirection w:val="lrTb"/>
            <w:noWrap w:val="false"/>
          </w:tcPr>
          <w:p>
            <w:pPr>
              <w:numPr>
                <w:ilvl w:val="0"/>
                <w:numId w:val="58"/>
              </w:numPr>
              <w:ind w:left="252" w:firstLine="0"/>
              <w:jc w:val="left"/>
              <w:spacing w:before="60" w:line="216" w:lineRule="auto"/>
              <w:tabs>
                <w:tab w:val="num" w:pos="252" w:leader="none"/>
              </w:tabs>
              <w:rPr>
                <w:i/>
                <w:color w:val="4f81bd"/>
                <w:sz w:val="22"/>
                <w:szCs w:val="22"/>
                <w:lang w:eastAsia="en-US"/>
              </w:rPr>
            </w:pPr>
            <w:r>
              <w:rPr>
                <w:i/>
                <w:color w:val="4f81bd"/>
                <w:sz w:val="22"/>
                <w:szCs w:val="22"/>
                <w:lang w:eastAsia="en-US"/>
              </w:rPr>
              <w:t xml:space="preserve">Указать наименование должности у работодателя</w:t>
            </w:r>
            <w:r>
              <w:rPr>
                <w:i/>
                <w:color w:val="4f81bd"/>
                <w:sz w:val="22"/>
                <w:szCs w:val="22"/>
                <w:lang w:eastAsia="en-US"/>
              </w:rPr>
            </w:r>
          </w:p>
        </w:tc>
      </w:tr>
    </w:tbl>
    <w:p>
      <w:pPr>
        <w:ind w:right="-82"/>
        <w:spacing w:before="120" w:after="120"/>
        <w:shd w:val="clear" w:color="auto" w:fill="ffc00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Сведения об опыте участия в проектах по критерию «</w:t>
      </w:r>
      <w:r>
        <w:rPr>
          <w:rFonts w:eastAsia="Calibri"/>
          <w:b/>
          <w:bCs/>
          <w:sz w:val="22"/>
          <w:szCs w:val="22"/>
        </w:rPr>
        <w:t xml:space="preserve">Наличие квалифицированных кадровых ресурсов</w:t>
      </w:r>
      <w:r>
        <w:rPr>
          <w:b/>
          <w:bCs/>
          <w:sz w:val="22"/>
          <w:szCs w:val="22"/>
        </w:rPr>
        <w:t xml:space="preserve">» </w:t>
      </w:r>
      <w:r>
        <w:rPr>
          <w:b/>
          <w:bCs/>
          <w:sz w:val="22"/>
          <w:szCs w:val="22"/>
        </w:rPr>
      </w:r>
    </w:p>
    <w:tbl>
      <w:tblPr>
        <w:tblW w:w="5000" w:type="pct"/>
        <w:tblBorders>
          <w:top w:val="single" w:color="auto" w:sz="4" w:space="0"/>
          <w:bottom w:val="single" w:color="auto" w:sz="4" w:space="0"/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445"/>
        <w:gridCol w:w="1482"/>
        <w:gridCol w:w="2213"/>
        <w:gridCol w:w="1124"/>
        <w:gridCol w:w="964"/>
        <w:gridCol w:w="1878"/>
        <w:gridCol w:w="1242"/>
      </w:tblGrid>
      <w:tr>
        <w:tblPrEx/>
        <w:trPr>
          <w:cantSplit/>
          <w:trHeight w:val="98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№ п/п</w:t>
            </w:r>
            <w:r>
              <w:rPr>
                <w:b/>
                <w:bCs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3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Наименование заказчика,</w:t>
            </w:r>
            <w:r>
              <w:rPr>
                <w:bCs/>
                <w:sz w:val="16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lang w:eastAsia="en-US"/>
              </w:rPr>
              <w:t xml:space="preserve">отрасль, контактная информация, организационная структура</w:t>
            </w:r>
            <w:r>
              <w:rPr>
                <w:b/>
                <w:bCs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Описание проекта  </w:t>
            </w:r>
            <w:r>
              <w:rPr>
                <w:b/>
                <w:bCs/>
                <w:sz w:val="16"/>
                <w:lang w:eastAsia="en-US"/>
              </w:rPr>
              <w:br/>
            </w:r>
            <w:r>
              <w:rPr>
                <w:bCs/>
                <w:sz w:val="16"/>
                <w:lang w:eastAsia="en-US"/>
              </w:rPr>
              <w:t xml:space="preserve">Наименование и краткое содержание стандарта</w:t>
            </w:r>
            <w:r>
              <w:rPr>
                <w:b/>
                <w:bCs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Сроки выполнения</w:t>
            </w:r>
            <w:r>
              <w:rPr>
                <w:b/>
                <w:bCs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Роль/роли в проекте</w:t>
            </w:r>
            <w:r>
              <w:rPr>
                <w:b/>
                <w:bCs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Выполненные работы в рамках роли</w:t>
            </w:r>
            <w:r>
              <w:rPr>
                <w:b/>
                <w:bCs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jc w:val="center"/>
              <w:spacing w:line="216" w:lineRule="auto"/>
              <w:rPr>
                <w:b/>
                <w:bCs/>
                <w:sz w:val="16"/>
                <w:lang w:eastAsia="en-US"/>
              </w:rPr>
            </w:pPr>
            <w:r>
              <w:rPr>
                <w:b/>
                <w:bCs/>
                <w:sz w:val="16"/>
                <w:lang w:eastAsia="en-US"/>
              </w:rPr>
              <w:t xml:space="preserve">Результат выполненных работ</w:t>
            </w:r>
            <w:r>
              <w:rPr>
                <w:b/>
                <w:bCs/>
                <w:sz w:val="16"/>
                <w:lang w:eastAsia="en-US"/>
              </w:rPr>
            </w:r>
          </w:p>
        </w:tc>
      </w:tr>
      <w:tr>
        <w:tblPrEx/>
        <w:trPr>
          <w:cantSplit/>
          <w:trHeight w:val="4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1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3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pct"/>
            <w:vAlign w:val="center"/>
            <w:textDirection w:val="lrTb"/>
            <w:noWrap w:val="false"/>
          </w:tcPr>
          <w:p>
            <w:pPr>
              <w:spacing w:after="0" w:line="252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Текстовое описание. 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мм.гггг- мм.гггг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" w:type="pct"/>
            <w:vAlign w:val="center"/>
            <w:textDirection w:val="lrTb"/>
            <w:noWrap w:val="false"/>
          </w:tcPr>
          <w:p>
            <w:pPr>
              <w:ind w:firstLine="10"/>
              <w:spacing w:before="60" w:line="216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szCs w:val="16"/>
                <w:lang w:eastAsia="en-US"/>
              </w:rPr>
            </w:pPr>
            <w:r>
              <w:rPr>
                <w:i/>
                <w:color w:val="4f81bd"/>
                <w:sz w:val="16"/>
                <w:szCs w:val="16"/>
                <w:lang w:eastAsia="en-US"/>
              </w:rPr>
              <w:t xml:space="preserve">Текстовое описание</w:t>
            </w:r>
            <w:r>
              <w:rPr>
                <w:i/>
                <w:color w:val="4f81bd"/>
                <w:sz w:val="16"/>
                <w:szCs w:val="16"/>
                <w:lang w:eastAsia="en-US"/>
              </w:rPr>
            </w:r>
          </w:p>
        </w:tc>
      </w:tr>
      <w:tr>
        <w:tblPrEx/>
        <w:trPr>
          <w:cantSplit/>
          <w:trHeight w:val="48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2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3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87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3" w:type="pct"/>
            <w:vAlign w:val="center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" w:type="pct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9" w:type="pct"/>
            <w:textDirection w:val="lrTb"/>
            <w:noWrap w:val="false"/>
          </w:tcPr>
          <w:p>
            <w:pPr>
              <w:spacing w:before="60" w:line="216" w:lineRule="auto"/>
              <w:rPr>
                <w:i/>
                <w:color w:val="4f81bd"/>
                <w:sz w:val="16"/>
                <w:lang w:eastAsia="en-US"/>
              </w:rPr>
            </w:pPr>
            <w:r>
              <w:rPr>
                <w:i/>
                <w:color w:val="4f81bd"/>
                <w:sz w:val="16"/>
                <w:lang w:eastAsia="en-US"/>
              </w:rPr>
            </w:r>
            <w:r>
              <w:rPr>
                <w:i/>
                <w:color w:val="4f81bd"/>
                <w:sz w:val="16"/>
                <w:lang w:eastAsia="en-US"/>
              </w:rPr>
            </w:r>
          </w:p>
        </w:tc>
      </w:tr>
    </w:tbl>
    <w:p>
      <w:pPr>
        <w:ind w:right="-82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right="-82"/>
        <w:rPr>
          <w:b/>
          <w:bCs/>
        </w:rPr>
      </w:pPr>
      <w:r>
        <w:rPr>
          <w:b/>
          <w:bCs/>
        </w:rPr>
        <w:t xml:space="preserve">___________________________________</w:t>
      </w:r>
      <w:r>
        <w:rPr>
          <w:b/>
          <w:bCs/>
        </w:rPr>
      </w:r>
    </w:p>
    <w:p>
      <w:pPr>
        <w:ind w:right="-82"/>
        <w:rPr>
          <w:bCs/>
          <w:vertAlign w:val="superscript"/>
        </w:rPr>
      </w:pPr>
      <w:r>
        <w:rPr>
          <w:bCs/>
          <w:vertAlign w:val="superscript"/>
        </w:rPr>
        <w:t xml:space="preserve">                                           (подпись, МП);</w:t>
      </w:r>
      <w:r>
        <w:rPr>
          <w:bCs/>
          <w:vertAlign w:val="superscript"/>
        </w:rPr>
      </w:r>
    </w:p>
    <w:p>
      <w:pPr>
        <w:ind w:right="-82"/>
        <w:rPr>
          <w:b/>
          <w:bCs/>
        </w:rPr>
      </w:pPr>
      <w:r>
        <w:rPr>
          <w:b/>
          <w:bCs/>
        </w:rPr>
        <w:t xml:space="preserve">_________________________________</w:t>
      </w:r>
      <w:r>
        <w:rPr>
          <w:b/>
          <w:bCs/>
        </w:rPr>
      </w:r>
    </w:p>
    <w:p>
      <w:pPr>
        <w:ind w:right="-82"/>
      </w:pPr>
      <w:r>
        <w:rPr>
          <w:bCs/>
          <w:vertAlign w:val="superscript"/>
        </w:rPr>
        <w:t xml:space="preserve">                (фамилия, имя, отчество подписавшего, должность)</w:t>
      </w:r>
      <w:r/>
    </w:p>
    <w:p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Инструкция по заполнению</w:t>
      </w:r>
      <w:r>
        <w:rPr>
          <w:sz w:val="20"/>
          <w:szCs w:val="20"/>
        </w:rPr>
      </w:r>
    </w:p>
    <w:p>
      <w:pPr>
        <w:numPr>
          <w:ilvl w:val="0"/>
          <w:numId w:val="59"/>
        </w:numPr>
        <w:contextualSpacing/>
        <w:ind w:left="284"/>
        <w:spacing w:after="0"/>
        <w:widowControl w:val="off"/>
        <w:tabs>
          <w:tab w:val="left" w:pos="1134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Форма используется для оценки Квалификации Участника.</w:t>
      </w:r>
      <w:r>
        <w:rPr>
          <w:sz w:val="20"/>
          <w:szCs w:val="20"/>
        </w:rPr>
      </w:r>
    </w:p>
    <w:p>
      <w:pPr>
        <w:numPr>
          <w:ilvl w:val="0"/>
          <w:numId w:val="59"/>
        </w:numPr>
        <w:contextualSpacing/>
        <w:ind w:left="284"/>
        <w:spacing w:after="0"/>
        <w:widowControl w:val="off"/>
        <w:tabs>
          <w:tab w:val="left" w:pos="1134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Форма сведений должн</w:t>
      </w:r>
      <w:r>
        <w:rPr>
          <w:sz w:val="20"/>
          <w:szCs w:val="20"/>
        </w:rPr>
        <w:t xml:space="preserve">а быть подписана уполномоченным лицом Участника.</w:t>
      </w:r>
      <w:r>
        <w:rPr>
          <w:sz w:val="20"/>
          <w:szCs w:val="20"/>
        </w:rPr>
      </w:r>
    </w:p>
    <w:p>
      <w:pPr>
        <w:numPr>
          <w:ilvl w:val="0"/>
          <w:numId w:val="59"/>
        </w:numPr>
        <w:contextualSpacing/>
        <w:ind w:left="284"/>
        <w:spacing w:after="0"/>
        <w:widowControl w:val="off"/>
        <w:tabs>
          <w:tab w:val="left" w:pos="1134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В данной форме приводятся сведения об опыте работников Участника, планируемых к привлечению на выполнение работ по договору.</w:t>
      </w:r>
      <w:r>
        <w:rPr>
          <w:sz w:val="20"/>
          <w:szCs w:val="20"/>
        </w:rPr>
      </w:r>
    </w:p>
    <w:p>
      <w:pPr>
        <w:numPr>
          <w:ilvl w:val="0"/>
          <w:numId w:val="59"/>
        </w:numPr>
        <w:contextualSpacing/>
        <w:ind w:left="284"/>
        <w:spacing w:after="0"/>
        <w:widowControl w:val="off"/>
        <w:tabs>
          <w:tab w:val="left" w:pos="1134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Описание деятельности работника предоставить по шаблону в разделе «Сведения об опы</w:t>
      </w:r>
      <w:r>
        <w:rPr>
          <w:sz w:val="20"/>
          <w:szCs w:val="20"/>
        </w:rPr>
        <w:t xml:space="preserve">те участия в проектах». Организатор закупки имеет право проверить достоверность предоставленных данных. В случае предоставления недостоверных данных заявка Участника закупки, предоставившего недостоверные данные, может быть отклонена</w:t>
      </w:r>
      <w:r>
        <w:rPr>
          <w:sz w:val="20"/>
          <w:szCs w:val="20"/>
        </w:rPr>
      </w:r>
    </w:p>
    <w:p>
      <w:pPr>
        <w:contextualSpacing/>
        <w:ind w:left="284"/>
        <w:spacing w:after="0"/>
        <w:widowControl w:val="off"/>
        <w:tabs>
          <w:tab w:val="left" w:pos="1134" w:leader="none"/>
        </w:tabs>
        <w:rPr>
          <w:sz w:val="20"/>
          <w:szCs w:val="20"/>
        </w:rPr>
        <w:sectPr>
          <w:footnotePr/>
          <w:endnotePr/>
          <w:type w:val="nextPage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>
        <w:rPr>
          <w:sz w:val="20"/>
          <w:szCs w:val="20"/>
        </w:rPr>
        <w:t xml:space="preserve">.</w:t>
      </w:r>
      <w:r>
        <w:rPr>
          <w:sz w:val="20"/>
          <w:szCs w:val="20"/>
        </w:rPr>
      </w:r>
    </w:p>
    <w:p>
      <w:pPr>
        <w:pStyle w:val="1115"/>
        <w:numPr>
          <w:ilvl w:val="0"/>
          <w:numId w:val="62"/>
        </w:numPr>
        <w:ind w:left="0" w:firstLine="0"/>
        <w:tabs>
          <w:tab w:val="left" w:pos="1276" w:leader="none"/>
        </w:tabs>
        <w:rPr>
          <w:sz w:val="24"/>
          <w:szCs w:val="24"/>
        </w:rPr>
      </w:pPr>
      <w:r/>
      <w:bookmarkStart w:id="429" w:name="_Toc106204807"/>
      <w:r/>
      <w:bookmarkStart w:id="430" w:name="_Toc116983307"/>
      <w:r/>
      <w:bookmarkStart w:id="431" w:name="_Toc317153425"/>
      <w:r/>
      <w:bookmarkStart w:id="432" w:name="_Toc533150741"/>
      <w:r/>
      <w:bookmarkStart w:id="433" w:name="_Toc243045091"/>
      <w:r/>
      <w:bookmarkEnd w:id="368"/>
      <w:r/>
      <w:bookmarkEnd w:id="369"/>
      <w:r/>
      <w:bookmarkEnd w:id="370"/>
      <w:r/>
      <w:bookmarkEnd w:id="371"/>
      <w:r/>
      <w:bookmarkEnd w:id="372"/>
      <w:r/>
      <w:bookmarkEnd w:id="373"/>
      <w:r/>
      <w:bookmarkEnd w:id="374"/>
      <w:r/>
      <w:bookmarkEnd w:id="375"/>
      <w:r/>
      <w:bookmarkEnd w:id="376"/>
      <w:r/>
      <w:bookmarkEnd w:id="377"/>
      <w:r/>
      <w:bookmarkEnd w:id="378"/>
      <w:r/>
      <w:bookmarkEnd w:id="379"/>
      <w:r/>
      <w:bookmarkEnd w:id="380"/>
      <w:r/>
      <w:bookmarkEnd w:id="381"/>
      <w:r/>
      <w:bookmarkEnd w:id="382"/>
      <w:r/>
      <w:bookmarkEnd w:id="395"/>
      <w:r/>
      <w:bookmarkEnd w:id="396"/>
      <w:r/>
      <w:bookmarkEnd w:id="397"/>
      <w:r/>
      <w:bookmarkEnd w:id="398"/>
      <w:r/>
      <w:bookmarkEnd w:id="399"/>
      <w:r/>
      <w:bookmarkEnd w:id="400"/>
      <w:r>
        <w:rPr>
          <w:sz w:val="24"/>
          <w:szCs w:val="24"/>
        </w:rPr>
        <w:t xml:space="preserve">Независимая гарантия обеспечения исполнения обязательств участника закупки</w:t>
      </w:r>
      <w:bookmarkEnd w:id="429"/>
      <w:r/>
      <w:bookmarkEnd w:id="430"/>
      <w:r/>
      <w:bookmarkEnd w:id="433"/>
      <w:r>
        <w:rPr>
          <w:sz w:val="24"/>
          <w:szCs w:val="24"/>
        </w:rPr>
        <w:t xml:space="preserve"> </w:t>
      </w:r>
      <w:bookmarkEnd w:id="431"/>
      <w:r/>
      <w:bookmarkEnd w:id="432"/>
      <w:r/>
      <w:r>
        <w:rPr>
          <w:sz w:val="24"/>
          <w:szCs w:val="24"/>
        </w:rPr>
      </w:r>
    </w:p>
    <w:p>
      <w:r/>
      <w:bookmarkStart w:id="434" w:name="_Toc247081661"/>
      <w:r>
        <w:tab/>
      </w:r>
      <w:r>
        <w:tab/>
      </w:r>
      <w:bookmarkEnd w:id="434"/>
      <w:r/>
      <w:r/>
    </w:p>
    <w:p>
      <w:pPr>
        <w:rPr>
          <w:b/>
          <w:bCs/>
          <w:spacing w:val="-7"/>
        </w:rPr>
      </w:pPr>
      <w:r>
        <w:rPr>
          <w:i/>
        </w:rPr>
        <w:t xml:space="preserve">Бланк Гаранта</w:t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  <w:tab/>
      </w:r>
      <w:r>
        <w:rPr>
          <w:b/>
          <w:bCs/>
          <w:spacing w:val="-7"/>
        </w:rPr>
      </w:r>
    </w:p>
    <w:p>
      <w:pPr>
        <w:jc w:val="center"/>
        <w:widowControl w:val="off"/>
        <w:rPr>
          <w:b/>
          <w:bCs/>
        </w:rPr>
      </w:pPr>
      <w:r>
        <w:rPr>
          <w:b/>
          <w:bCs/>
        </w:rPr>
        <w:t xml:space="preserve">НЕЗАВИСИМАЯ ГАРАНТИЯ № ______</w:t>
      </w:r>
      <w:r>
        <w:rPr>
          <w:b/>
          <w:bCs/>
        </w:rPr>
      </w:r>
    </w:p>
    <w:p>
      <w:pPr>
        <w:jc w:val="center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widowControl w:val="off"/>
      </w:pPr>
      <w:r>
        <w:t xml:space="preserve">г. 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«___»___________20__ г.</w:t>
      </w:r>
      <w:r/>
    </w:p>
    <w:p>
      <w:pPr>
        <w:jc w:val="center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ind w:firstLine="709"/>
        <w:widowControl w:val="off"/>
        <w:rPr>
          <w:i/>
        </w:rPr>
      </w:pPr>
      <w:r>
        <w:t xml:space="preserve">Мы информированы о том, что________________________ </w:t>
      </w:r>
      <w:r>
        <w:rPr>
          <w:i/>
        </w:rPr>
        <w:t xml:space="preserve">(</w:t>
      </w:r>
      <w:r>
        <w:rPr>
          <w:bCs/>
          <w:i/>
        </w:rPr>
        <w:t xml:space="preserve">наименование, ИНН</w:t>
      </w:r>
      <w:r>
        <w:rPr>
          <w:bCs/>
        </w:rPr>
        <w:t xml:space="preserve">), </w:t>
      </w:r>
      <w:r>
        <w:t xml:space="preserve">именуемое в дальнейшем «Принципал», намерен участвовать в конкурсе на ___________________________________ </w:t>
      </w:r>
      <w:r>
        <w:rPr>
          <w:i/>
        </w:rPr>
        <w:t xml:space="preserve">(предмет конкурса)</w:t>
      </w:r>
      <w:r>
        <w:t xml:space="preserve">, проводимом Публичным акционерным обществом «Федеральная сетевая компания - Россети» </w:t>
      </w:r>
      <w:r>
        <w:rPr>
          <w:i/>
        </w:rPr>
        <w:t xml:space="preserve">(наименование, ИНН)</w:t>
      </w:r>
      <w:r>
        <w:t xml:space="preserve">, именуемым в дальнейшем «Б</w:t>
      </w:r>
      <w:r>
        <w:t xml:space="preserve">енефициар»</w:t>
      </w:r>
      <w:r>
        <w:rPr>
          <w:i/>
        </w:rPr>
        <w:t xml:space="preserve">.</w:t>
      </w:r>
      <w:r>
        <w:rPr>
          <w:i/>
        </w:rPr>
      </w:r>
    </w:p>
    <w:p>
      <w:pPr>
        <w:ind w:firstLine="709"/>
        <w:widowControl w:val="off"/>
      </w:pPr>
      <w:r>
        <w:t xml:space="preserve">В соответствии с условиями Конкурсной документации Принципал обязан предоставить Бенефициару финансовое обеспечение Конкурсной заявки Принципала на сумму в размере ___________________________ </w:t>
      </w:r>
      <w:r>
        <w:rPr>
          <w:i/>
        </w:rPr>
        <w:t xml:space="preserve">(сумма цифрами и прописью</w:t>
      </w:r>
      <w:r>
        <w:t xml:space="preserve">).</w:t>
      </w:r>
      <w:r/>
    </w:p>
    <w:p>
      <w:pPr>
        <w:ind w:firstLine="709"/>
        <w:widowControl w:val="off"/>
        <w:tabs>
          <w:tab w:val="left" w:pos="1080" w:leader="none"/>
          <w:tab w:val="left" w:pos="9180" w:leader="none"/>
        </w:tabs>
      </w:pPr>
      <w:r>
        <w:t xml:space="preserve">Учитывая вышеизложенное,</w:t>
      </w:r>
      <w:r>
        <w:t xml:space="preserve"> по просьбе Принципала, мы, _________________________________ (</w:t>
      </w:r>
      <w:r>
        <w:rPr>
          <w:i/>
        </w:rPr>
        <w:t xml:space="preserve">реквизиты гаранта: наименование, ИНН, реквизиты лицензии на осуществлении банковских операций</w:t>
      </w:r>
      <w:r>
        <w:rPr>
          <w:bCs/>
          <w:i/>
        </w:rPr>
        <w:t xml:space="preserve">/иных документов, подтверждающих наличие у гаранта права на выдачу независимых гарантий</w:t>
      </w:r>
      <w:r>
        <w:rPr>
          <w:rStyle w:val="1382"/>
          <w:rFonts w:eastAsia="Arial"/>
        </w:rPr>
        <w:footnoteReference w:id="17"/>
      </w:r>
      <w:r>
        <w:t xml:space="preserve">), в лице </w:t>
      </w:r>
      <w:r>
        <w:rPr>
          <w:i/>
        </w:rPr>
        <w:t xml:space="preserve">_</w:t>
      </w:r>
      <w:r>
        <w:rPr>
          <w:i/>
        </w:rPr>
        <w:t xml:space="preserve">____________(Ф. И. О. уполномоченного действовать от имени гаранта лица</w:t>
      </w:r>
      <w:r>
        <w:t xml:space="preserve">), действующего на основании _____________ (</w:t>
      </w:r>
      <w:r>
        <w:rPr>
          <w:i/>
        </w:rPr>
        <w:t xml:space="preserve">реквизиты доверенности)</w:t>
      </w:r>
      <w:r>
        <w:t xml:space="preserve">, именуемый в дальнейшем «Гарант», настоящим принимаем на себя безотзывное и безусловное обязательство выплатить по пе</w:t>
      </w:r>
      <w:r>
        <w:t xml:space="preserve">рвому письменному требованию Бенефициара любую сумму, не превышающую __________________ </w:t>
      </w:r>
      <w:r>
        <w:rPr>
          <w:i/>
        </w:rPr>
        <w:t xml:space="preserve">(сумма цифрами и прописью</w:t>
      </w:r>
      <w:r>
        <w:t xml:space="preserve">), в случае:</w:t>
      </w:r>
      <w:r/>
    </w:p>
    <w:p>
      <w:pPr>
        <w:numPr>
          <w:ilvl w:val="0"/>
          <w:numId w:val="51"/>
        </w:numPr>
        <w:ind w:left="0" w:firstLine="709"/>
        <w:spacing w:after="0"/>
        <w:tabs>
          <w:tab w:val="left" w:pos="1134" w:leader="none"/>
        </w:tabs>
      </w:pPr>
      <w:r>
        <w:t xml:space="preserve">непредставления или предоставления с нарушением условий, установленных настоящей документацией о закупке, до заключения договора з</w:t>
      </w:r>
      <w:r>
        <w:t xml:space="preserve">аказчику обеспечения исполнения договора (в случае, если в извещении и закупке и/или в документации о закупке установлены требования обеспечения исполнения договора и срок его предоставления до заключения договора);</w:t>
      </w:r>
      <w:r/>
    </w:p>
    <w:p>
      <w:pPr>
        <w:numPr>
          <w:ilvl w:val="0"/>
          <w:numId w:val="51"/>
        </w:numPr>
        <w:ind w:left="0" w:firstLine="709"/>
        <w:spacing w:after="0"/>
        <w:widowControl w:val="off"/>
        <w:tabs>
          <w:tab w:val="left" w:pos="1134" w:leader="none"/>
          <w:tab w:val="left" w:pos="1418" w:leader="none"/>
          <w:tab w:val="left" w:pos="9180" w:leader="none"/>
        </w:tabs>
      </w:pPr>
      <w:r>
        <w:t xml:space="preserve">уклонения или отказа участника закупки о</w:t>
      </w:r>
      <w:r>
        <w:t xml:space="preserve">т заключения договора (договоров, если документацией о закупке предусмотрено заключение нескольких договоров по ее итогам) </w:t>
      </w:r>
      <w:r/>
    </w:p>
    <w:p>
      <w:pPr>
        <w:ind w:firstLine="709"/>
        <w:widowControl w:val="off"/>
        <w:tabs>
          <w:tab w:val="left" w:pos="1134" w:leader="none"/>
          <w:tab w:val="left" w:pos="1418" w:leader="none"/>
          <w:tab w:val="left" w:pos="9180" w:leader="none"/>
        </w:tabs>
      </w:pPr>
      <w:r>
        <w:t xml:space="preserve">без споров и возражений с нашей стороны, не требуя от Бенефициара доказательств или обоснований требования на определенную в настоящ</w:t>
      </w:r>
      <w:r>
        <w:t xml:space="preserve">ей независимой гарантии сумму.</w:t>
      </w:r>
      <w:r/>
    </w:p>
    <w:p>
      <w:pPr>
        <w:ind w:firstLine="709"/>
        <w:widowControl w:val="off"/>
        <w:tabs>
          <w:tab w:val="left" w:pos="1134" w:leader="none"/>
        </w:tabs>
        <w:rPr>
          <w:color w:val="000000"/>
        </w:rPr>
      </w:pPr>
      <w:r>
        <w:rPr>
          <w:color w:val="000000"/>
        </w:rPr>
        <w:t xml:space="preserve">Ответственность Гаранта за неисполнение требования по настоящей независимой гарантии не ограничивается суммой, на которую она выдана.</w:t>
      </w:r>
      <w:r>
        <w:rPr>
          <w:color w:val="000000"/>
        </w:rPr>
      </w:r>
    </w:p>
    <w:p>
      <w:pPr>
        <w:ind w:firstLine="709"/>
        <w:widowControl w:val="off"/>
        <w:rPr>
          <w:color w:val="000000"/>
        </w:rPr>
      </w:pPr>
      <w:r>
        <w:rPr>
          <w:color w:val="000000"/>
        </w:rPr>
        <w:t xml:space="preserve">За неисполнение принятых обязательств по независимой гарантии Гарант несет ответственность, предусмотренную законодательст</w:t>
      </w:r>
      <w:r>
        <w:rPr>
          <w:color w:val="000000"/>
        </w:rPr>
        <w:t xml:space="preserve">вом Российской Федерации.</w:t>
      </w:r>
      <w:r>
        <w:tab/>
      </w:r>
      <w:r>
        <w:rPr>
          <w:color w:val="000000"/>
        </w:rPr>
      </w:r>
    </w:p>
    <w:p>
      <w:pPr>
        <w:ind w:firstLine="709"/>
        <w:widowControl w:val="off"/>
        <w:tabs>
          <w:tab w:val="left" w:pos="1080" w:leader="none"/>
        </w:tabs>
      </w:pPr>
      <w:r>
        <w:rPr>
          <w:bCs/>
        </w:rPr>
        <w:t xml:space="preserve">Настоящая независимая гарантия вступает в силу с _________20___года и действует по __________20___года (включительно). </w:t>
      </w:r>
      <w:r/>
    </w:p>
    <w:p>
      <w:pPr>
        <w:ind w:firstLine="709"/>
        <w:widowControl w:val="off"/>
      </w:pPr>
      <w:r>
        <w:rPr>
          <w:bCs/>
        </w:rPr>
        <w:t xml:space="preserve">Письменное требование платежа </w:t>
      </w:r>
      <w:r>
        <w:t xml:space="preserve">должно быть направлено </w:t>
      </w:r>
      <w:r>
        <w:rPr>
          <w:bCs/>
        </w:rPr>
        <w:t xml:space="preserve">Гаранту до 24 часов 00 минут «______»_________ (включите</w:t>
      </w:r>
      <w:r>
        <w:rPr>
          <w:bCs/>
        </w:rPr>
        <w:t xml:space="preserve">льно) </w:t>
      </w:r>
      <w:r>
        <w:t xml:space="preserve">по адресу: </w:t>
      </w:r>
      <w:r>
        <w:rPr>
          <w:bCs/>
        </w:rPr>
        <w:t xml:space="preserve">__________________________</w:t>
      </w:r>
      <w:r>
        <w:t xml:space="preserve"> </w:t>
      </w:r>
      <w:r>
        <w:rPr>
          <w:bCs/>
        </w:rPr>
        <w:t xml:space="preserve">посредством почтовой связи либо передано нарочным непосредственно по </w:t>
      </w:r>
      <w:r>
        <w:rPr>
          <w:bCs/>
        </w:rPr>
        <w:t xml:space="preserve">адресу:_______________________.</w:t>
      </w:r>
      <w:r/>
    </w:p>
    <w:p>
      <w:pPr>
        <w:ind w:firstLine="709"/>
        <w:widowControl w:val="off"/>
        <w:rPr>
          <w:bCs/>
        </w:rPr>
      </w:pPr>
      <w:r>
        <w:rPr>
          <w:bCs/>
        </w:rPr>
        <w:t xml:space="preserve">Гарант по получении от Бенефициара письменного требования о выплате денежной суммы</w:t>
      </w:r>
      <w:r>
        <w:rPr>
          <w:color w:val="000000"/>
        </w:rPr>
        <w:t xml:space="preserve"> по настоящей независимой гар</w:t>
      </w:r>
      <w:r>
        <w:rPr>
          <w:color w:val="000000"/>
        </w:rPr>
        <w:t xml:space="preserve">антии</w:t>
      </w:r>
      <w:r>
        <w:rPr>
          <w:bCs/>
        </w:rPr>
        <w:t xml:space="preserve">, обязуется в течение </w:t>
      </w:r>
      <w:r>
        <w:rPr>
          <w:bCs/>
        </w:rPr>
        <w:br w:type="textWrapping" w:clear="all"/>
      </w:r>
      <w:r>
        <w:rPr>
          <w:bCs/>
        </w:rPr>
        <w:t xml:space="preserve">10 рабочих дней с момента получения требования от Бенефициара, соответствующего условиям настоящей независимой гарантии, при отсутствии предусмотренных Гражданским кодексом Российской Федерации оснований для отказа в удовлетворе</w:t>
      </w:r>
      <w:r>
        <w:rPr>
          <w:bCs/>
        </w:rPr>
        <w:t xml:space="preserve">нии этого требования выплатить Бенефициару денежные средства согласно условиям настоящей независимой гарантии. Расходы, возникающие в связи с перечислением денежных средств, несет Гарант.</w:t>
      </w:r>
      <w:r>
        <w:rPr>
          <w:bCs/>
        </w:rPr>
      </w:r>
    </w:p>
    <w:p>
      <w:pPr>
        <w:ind w:firstLine="709"/>
        <w:widowControl w:val="off"/>
      </w:pPr>
      <w:r>
        <w:rPr>
          <w:bCs/>
        </w:rPr>
        <w:t xml:space="preserve">Гарантия не может быть отозвана Гарантом. Передача права требования </w:t>
      </w:r>
      <w:r>
        <w:rPr>
          <w:bCs/>
        </w:rPr>
        <w:t xml:space="preserve">по настоящей гарантии не допускается.</w:t>
      </w:r>
      <w:r>
        <w:t xml:space="preserve"> </w:t>
      </w:r>
      <w:r/>
    </w:p>
    <w:p>
      <w:pPr>
        <w:ind w:firstLine="709"/>
        <w:widowControl w:val="off"/>
        <w:rPr>
          <w:rStyle w:val="1572"/>
        </w:rPr>
      </w:pPr>
      <w:r>
        <w:rPr>
          <w:rStyle w:val="1572"/>
        </w:rPr>
        <w:t xml:space="preserve">Настоящая независимая гарантия может быть изменена Гарантом без согласия Бенефициара только в части увеличения суммы и/или срока действия настоящей независимой гарантии. Иные изменения настоящей независимой гарантии д</w:t>
      </w:r>
      <w:r>
        <w:rPr>
          <w:rStyle w:val="1572"/>
        </w:rPr>
        <w:t xml:space="preserve">опускаются только с согласия Бенефициара. Все изменения настоящей независимой гарантии должны быть оформлены в виде отдельного документа - Изменение к независимой гарантии.*</w:t>
      </w:r>
      <w:r>
        <w:rPr>
          <w:rStyle w:val="1572"/>
        </w:rPr>
      </w:r>
    </w:p>
    <w:p>
      <w:pPr>
        <w:ind w:firstLine="709"/>
        <w:widowControl w:val="off"/>
        <w:rPr>
          <w:bCs/>
        </w:rPr>
      </w:pPr>
      <w:r>
        <w:rPr>
          <w:i/>
        </w:rPr>
        <w:t xml:space="preserve">* Примечание: допускается следующая редакция абзаца: «</w:t>
      </w:r>
      <w:r>
        <w:rPr>
          <w:bCs/>
          <w:i/>
        </w:rPr>
        <w:t xml:space="preserve">Настоящая Гарантия может быт</w:t>
      </w:r>
      <w:r>
        <w:rPr>
          <w:bCs/>
          <w:i/>
        </w:rPr>
        <w:t xml:space="preserve">ь изменена Гарантом с письменного согласия Бенефициара. Все изменения к настоящей Гарантии должны быть оформлены в виде письменного документа - Изменения к независимой гарантии</w:t>
      </w:r>
      <w:r>
        <w:rPr>
          <w:bCs/>
        </w:rPr>
        <w:t xml:space="preserve">.». </w:t>
      </w:r>
      <w:r>
        <w:rPr>
          <w:bCs/>
        </w:rPr>
      </w:r>
    </w:p>
    <w:p>
      <w:pPr>
        <w:ind w:firstLine="709"/>
        <w:widowControl w:val="off"/>
        <w:rPr>
          <w:color w:val="000000"/>
        </w:rPr>
      </w:pPr>
      <w:r>
        <w:rPr>
          <w:bCs/>
        </w:rPr>
        <w:t xml:space="preserve">Письменное согласие Бенефициара на изменение соответствующих условий настоя</w:t>
      </w:r>
      <w:r>
        <w:rPr>
          <w:bCs/>
        </w:rPr>
        <w:t xml:space="preserve">щей гарантии направляется Гаранту до внесения изменений в гарантию. Изменения в условия гарантии вступают в силу с даты их выпуска Гарантом, если иной момент вступления их в силу не определен в таких изменениях.</w:t>
      </w:r>
      <w:r>
        <w:rPr>
          <w:color w:val="000000"/>
        </w:rPr>
      </w:r>
    </w:p>
    <w:p>
      <w:pPr>
        <w:ind w:firstLine="709"/>
        <w:widowControl w:val="off"/>
      </w:pPr>
      <w:r>
        <w:t xml:space="preserve">Гарант передает сведения о Принципале, опред</w:t>
      </w:r>
      <w:r>
        <w:t xml:space="preserve">еленные ст. 4 Федерального закона от 30.12.2004 № 218-ФЗ «О кредитных историях», хотя бы в одно бюро кредитных историй, включенное в государственный реестр бюро кредитных историй, без получения согласий Принципала на их представление в соответствии с требо</w:t>
      </w:r>
      <w:r>
        <w:t xml:space="preserve">ваниями ч. 3.1 и ч. 4 ст. 5 указанного Закона.</w:t>
      </w:r>
      <w:r/>
    </w:p>
    <w:p>
      <w:pPr>
        <w:ind w:firstLine="709"/>
        <w:widowControl w:val="off"/>
      </w:pPr>
      <w:r>
        <w:t xml:space="preserve">Действие настоящей независимой гарантии регулируется законодательством Российской Федерации. </w:t>
      </w:r>
      <w:r/>
    </w:p>
    <w:p>
      <w:pPr>
        <w:ind w:firstLine="709"/>
        <w:widowControl w:val="off"/>
      </w:pPr>
      <w:r>
        <w:t xml:space="preserve">Все споры, возникающие в связи с действительностью, толкованием или исполнением настоящей независимой гарантии, под</w:t>
      </w:r>
      <w:r>
        <w:t xml:space="preserve">лежат рассмотрению в Арбитражном суде г. Москвы.</w:t>
      </w:r>
      <w:r/>
    </w:p>
    <w:p>
      <w:pPr>
        <w:widowControl w:val="off"/>
        <w:tabs>
          <w:tab w:val="left" w:pos="1080" w:leader="none"/>
        </w:tabs>
      </w:pPr>
      <w:r/>
      <w:r/>
    </w:p>
    <w:p>
      <w:pPr>
        <w:widowControl w:val="off"/>
        <w:tabs>
          <w:tab w:val="left" w:pos="1080" w:leader="none"/>
        </w:tabs>
      </w:pPr>
      <w:r/>
      <w:r/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5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Представитель </w:t>
            </w:r>
            <w:r>
              <w:rPr>
                <w:i/>
              </w:rPr>
              <w:t xml:space="preserve">________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5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______________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5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t xml:space="preserve">_____________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5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i/>
              </w:rPr>
              <w:t xml:space="preserve">(наименование Гаранта)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5" w:type="dxa"/>
            <w:textDirection w:val="lrTb"/>
            <w:noWrap w:val="false"/>
          </w:tcPr>
          <w:p>
            <w:pPr>
              <w:jc w:val="center"/>
              <w:widowControl w:val="off"/>
              <w:rPr>
                <w:i/>
              </w:rPr>
            </w:pPr>
            <w:r>
              <w:rPr>
                <w:i/>
              </w:rPr>
              <w:t xml:space="preserve">(подпись)</w:t>
            </w:r>
            <w:r>
              <w:rPr>
                <w:i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5" w:type="dxa"/>
            <w:textDirection w:val="lrTb"/>
            <w:noWrap w:val="false"/>
          </w:tcPr>
          <w:p>
            <w:pPr>
              <w:jc w:val="center"/>
              <w:widowControl w:val="off"/>
            </w:pPr>
            <w:r>
              <w:rPr>
                <w:i/>
              </w:rPr>
              <w:t xml:space="preserve">(Ф. И. О.) </w:t>
            </w:r>
            <w:r/>
          </w:p>
        </w:tc>
      </w:tr>
    </w:tbl>
    <w:p>
      <w:pPr>
        <w:jc w:val="center"/>
        <w:widowControl w:val="off"/>
      </w:pPr>
      <w:r>
        <w:t xml:space="preserve">                                        м.п.</w:t>
      </w:r>
      <w:r/>
    </w:p>
    <w:p>
      <w:pPr>
        <w:rPr>
          <w:rFonts w:eastAsia="Calibri"/>
        </w:rPr>
      </w:pPr>
      <w:r>
        <w:rPr>
          <w:rFonts w:eastAsia="Calibri"/>
        </w:rPr>
      </w:r>
      <w:r>
        <w:rPr>
          <w:rFonts w:eastAsia="Calibri"/>
        </w:rPr>
      </w:r>
    </w:p>
    <w:p>
      <w:pPr>
        <w:sectPr>
          <w:footnotePr/>
          <w:endnotePr/>
          <w:type w:val="nextPage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/>
      <w:r/>
    </w:p>
    <w:p>
      <w:pPr>
        <w:pStyle w:val="1115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</w:p>
    <w:p>
      <w:pPr>
        <w:sectPr>
          <w:headerReference w:type="first" r:id="rId12"/>
          <w:footnotePr/>
          <w:endnotePr/>
          <w:type w:val="continuous"/>
          <w:pgSz w:w="11909" w:h="16834" w:orient="portrait"/>
          <w:pgMar w:top="1134" w:right="850" w:bottom="1134" w:left="1701" w:header="720" w:footer="340" w:gutter="0"/>
          <w:cols w:num="1" w:sep="0" w:space="60" w:equalWidth="1"/>
          <w:docGrid w:linePitch="360"/>
        </w:sectPr>
      </w:pPr>
      <w:r/>
      <w:r/>
    </w:p>
    <w:p>
      <w:pPr>
        <w:pStyle w:val="1115"/>
        <w:numPr>
          <w:ilvl w:val="0"/>
          <w:numId w:val="62"/>
        </w:numPr>
        <w:ind w:left="0" w:firstLine="0"/>
        <w:tabs>
          <w:tab w:val="left" w:pos="1276" w:leader="none"/>
        </w:tabs>
        <w:rPr>
          <w:sz w:val="24"/>
          <w:szCs w:val="24"/>
        </w:rPr>
      </w:pPr>
      <w:r/>
      <w:bookmarkStart w:id="435" w:name="_Toc116983308"/>
      <w:r/>
      <w:bookmarkStart w:id="436" w:name="_Toc463353581"/>
      <w:r/>
      <w:bookmarkStart w:id="437" w:name="_Toc428366445"/>
      <w:r/>
      <w:bookmarkStart w:id="438" w:name="_Toc413398105"/>
      <w:r/>
      <w:bookmarkStart w:id="439" w:name="_Toc405387476"/>
      <w:r/>
      <w:bookmarkStart w:id="440" w:name="_Toc481663127"/>
      <w:r/>
      <w:bookmarkStart w:id="441" w:name="_Toc480896972"/>
      <w:r/>
      <w:bookmarkStart w:id="442" w:name="_Toc480216617"/>
      <w:r/>
      <w:bookmarkStart w:id="443" w:name="_Toc482786015"/>
      <w:r/>
      <w:bookmarkStart w:id="444" w:name="_Toc485917031"/>
      <w:r/>
      <w:bookmarkStart w:id="445" w:name="_Toc485917469"/>
      <w:r/>
      <w:bookmarkStart w:id="446" w:name="_Toc533150743"/>
      <w:r/>
      <w:bookmarkStart w:id="447" w:name="_Toc243045092"/>
      <w:r>
        <w:rPr>
          <w:sz w:val="24"/>
          <w:szCs w:val="24"/>
        </w:rPr>
        <w:t xml:space="preserve">Согласие на обработку персональных данных</w:t>
      </w:r>
      <w:bookmarkEnd w:id="435"/>
      <w:r/>
      <w:bookmarkEnd w:id="436"/>
      <w:r/>
      <w:bookmarkEnd w:id="437"/>
      <w:r/>
      <w:bookmarkEnd w:id="438"/>
      <w:r/>
      <w:bookmarkEnd w:id="439"/>
      <w:r/>
      <w:bookmarkEnd w:id="440"/>
      <w:r/>
      <w:bookmarkEnd w:id="441"/>
      <w:r/>
      <w:bookmarkEnd w:id="442"/>
      <w:r/>
      <w:bookmarkEnd w:id="443"/>
      <w:r/>
      <w:bookmarkEnd w:id="444"/>
      <w:r/>
      <w:bookmarkEnd w:id="445"/>
      <w:r/>
      <w:bookmarkEnd w:id="446"/>
      <w:r/>
      <w:bookmarkEnd w:id="447"/>
      <w:r/>
      <w:r>
        <w:rPr>
          <w:sz w:val="24"/>
          <w:szCs w:val="24"/>
        </w:rPr>
      </w:r>
    </w:p>
    <w:p>
      <w:pPr>
        <w:jc w:val="center"/>
        <w:rPr>
          <w:b/>
        </w:rPr>
      </w:pPr>
      <w:r>
        <w:rPr>
          <w:b/>
        </w:rPr>
        <w:t xml:space="preserve">от «_____» ____________ 202____ г.</w:t>
      </w:r>
      <w:r>
        <w:rPr>
          <w:b/>
        </w:rPr>
      </w:r>
    </w:p>
    <w:p>
      <w:r/>
      <w:r/>
    </w:p>
    <w:p>
      <w:pPr>
        <w:jc w:val="center"/>
        <w:rPr>
          <w:b/>
        </w:rPr>
      </w:pPr>
      <w:r>
        <w:rPr>
          <w:b/>
        </w:rPr>
        <w:t xml:space="preserve">Для физических лиц</w:t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567"/>
      </w:pPr>
      <w:r>
        <w:t xml:space="preserve">Настоящим я, {указывается полностью ФИО участника закупочной процедуры}, паспорт {указывается серия и номер}, выдан {указывается дата выдачи, кем выдан, код п</w:t>
      </w:r>
      <w:r>
        <w:t xml:space="preserve">одразделения}  зарегистрированный по адресу {указывается адрес регистрации}, ИНН {указывается ИНН}, дает свое согласие на совершение Публичным акционерным обществом «Федеральная сетевая компания – Россети» и ДЗО Публичного акционерного общества «Федеральна</w:t>
      </w:r>
      <w:r>
        <w:t xml:space="preserve">я сетевая компания – Россети» действий, предусмотренных п. 3 ч. 1 ст. 3 ФЗ «О персональных данных» от 27.07.2006 № 152-ФЗ, в отношении персональных данных участника закупки (потенциального контрагента)/контрагента, в том числе с использованием информационн</w:t>
      </w:r>
      <w:r>
        <w:t xml:space="preserve">ых систем, а также на представление указанной информации в уполномоченные государственные органы (Минэнерго России, Росфинмониторинг России, ФНС России).</w:t>
      </w:r>
      <w:r/>
    </w:p>
    <w:p>
      <w:pPr>
        <w:ind w:firstLine="567"/>
      </w:pPr>
      <w:r>
        <w:t xml:space="preserve">Срок, в течение которого действует настоящее согласие субъекта персональных данных: со дня его подписа</w:t>
      </w:r>
      <w:r>
        <w:t xml:space="preserve">ния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r/>
    </w:p>
    <w:p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                     ______________________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(Подпись)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ab/>
        <w:t xml:space="preserve"> (Ф.И.О. подписавшего)</w:t>
      </w:r>
      <w:r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  <w:br w:type="page" w:clear="all"/>
      </w:r>
      <w:r>
        <w:rPr>
          <w:sz w:val="20"/>
          <w:szCs w:val="20"/>
        </w:rPr>
      </w:r>
    </w:p>
    <w:p>
      <w:pPr>
        <w:pStyle w:val="1115"/>
        <w:numPr>
          <w:ilvl w:val="0"/>
          <w:numId w:val="62"/>
        </w:numPr>
        <w:ind w:left="0" w:firstLine="0"/>
        <w:tabs>
          <w:tab w:val="left" w:pos="1276" w:leader="none"/>
        </w:tabs>
        <w:rPr>
          <w:sz w:val="24"/>
          <w:szCs w:val="24"/>
        </w:rPr>
      </w:pPr>
      <w:r/>
      <w:bookmarkStart w:id="448" w:name="_Toc116983309"/>
      <w:r/>
      <w:bookmarkStart w:id="449" w:name="_Toc533150745"/>
      <w:r/>
      <w:bookmarkStart w:id="450" w:name="_Toc243045093"/>
      <w:r>
        <w:rPr>
          <w:sz w:val="24"/>
          <w:szCs w:val="24"/>
        </w:rPr>
        <w:t xml:space="preserve">Декларация соответствия</w:t>
      </w:r>
      <w:bookmarkEnd w:id="448"/>
      <w:r/>
      <w:bookmarkEnd w:id="449"/>
      <w:r/>
      <w:bookmarkEnd w:id="450"/>
      <w:r/>
      <w:r>
        <w:rPr>
          <w:sz w:val="24"/>
          <w:szCs w:val="24"/>
        </w:rPr>
      </w:r>
    </w:p>
    <w:p>
      <w:r/>
      <w:r/>
    </w:p>
    <w:p>
      <w:pPr>
        <w:ind w:firstLine="709"/>
      </w:pPr>
      <w:r>
        <w:t xml:space="preserve">Настоящим подтверждаю, что ____________ (Наименован</w:t>
      </w:r>
      <w:r>
        <w:t xml:space="preserve">ие Участника, при подаче предложения коллективным участником указывается лидер и состав коллективного участника) не находится  в процессе ликвидации, не имеет вступившего в силу решения арбитражного суда о признании __________ (Наименование Участника, при </w:t>
      </w:r>
      <w:r>
        <w:t xml:space="preserve">подаче предложения коллективным участником указывается лидер и состав коллективного участника) банкротом и об открытии конкурсного производства, на имущество _______(Наименование Участника, при подаче предложения коллективным участником указывается лидер и</w:t>
      </w:r>
      <w:r>
        <w:t xml:space="preserve"> состав коллективного участника) не наложен арест, экономическая деятельность  _________(Наименование Участника, при подаче предложения коллективным участником указывается лидер и состав коллективного участника)  не приостановлена.</w:t>
      </w:r>
      <w:r/>
    </w:p>
    <w:p>
      <w:r/>
      <w:r/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_______________________</w:t>
      </w:r>
      <w:r>
        <w:rPr>
          <w:sz w:val="20"/>
          <w:szCs w:val="20"/>
        </w:rPr>
        <w:t xml:space="preserve">_____________                             ______________________</w:t>
      </w:r>
      <w:r>
        <w:rPr>
          <w:sz w:val="20"/>
          <w:szCs w:val="20"/>
        </w:rPr>
      </w:r>
    </w:p>
    <w:p>
      <w:pPr>
        <w:jc w:val="center"/>
      </w:pPr>
      <w:r>
        <w:rPr>
          <w:sz w:val="20"/>
          <w:szCs w:val="20"/>
        </w:rPr>
        <w:t xml:space="preserve">          (Подпись)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ab/>
        <w:t xml:space="preserve"> (Ф.И.О. подписавшего)</w:t>
      </w:r>
      <w:r>
        <w:rPr>
          <w:sz w:val="20"/>
          <w:szCs w:val="20"/>
        </w:rPr>
        <w:tab/>
      </w:r>
      <w:r>
        <w:t xml:space="preserve">     </w:t>
      </w:r>
      <w:r/>
    </w:p>
    <w:p>
      <w:pPr>
        <w:jc w:val="center"/>
      </w:pPr>
      <w:r>
        <w:t xml:space="preserve">                    </w:t>
      </w:r>
      <w:r/>
    </w:p>
    <w:p>
      <w:pPr>
        <w:jc w:val="left"/>
        <w:spacing w:after="0"/>
      </w:pPr>
      <w:r/>
      <w:r/>
    </w:p>
    <w:p>
      <w:pPr>
        <w:pStyle w:val="1115"/>
        <w:ind w:left="0" w:firstLine="0"/>
        <w:tabs>
          <w:tab w:val="num" w:pos="0" w:leader="none"/>
          <w:tab w:val="clear" w:pos="576" w:leader="none"/>
        </w:tabs>
        <w:rPr>
          <w:sz w:val="24"/>
          <w:szCs w:val="24"/>
        </w:rPr>
        <w:sectPr>
          <w:headerReference w:type="first" r:id="rId13"/>
          <w:footnotePr/>
          <w:endnotePr/>
          <w:type w:val="continuous"/>
          <w:pgSz w:w="11909" w:h="16834" w:orient="portrait"/>
          <w:pgMar w:top="1134" w:right="850" w:bottom="1134" w:left="1701" w:header="720" w:footer="340" w:gutter="0"/>
          <w:cols w:num="1" w:sep="0" w:space="720" w:equalWidth="1"/>
          <w:docGrid w:linePitch="360"/>
        </w:sect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115"/>
        <w:numPr>
          <w:ilvl w:val="0"/>
          <w:numId w:val="62"/>
        </w:numPr>
        <w:ind w:left="0" w:firstLine="0"/>
        <w:tabs>
          <w:tab w:val="left" w:pos="1276" w:leader="none"/>
        </w:tabs>
        <w:rPr>
          <w:sz w:val="24"/>
          <w:szCs w:val="24"/>
        </w:rPr>
      </w:pPr>
      <w:r/>
      <w:bookmarkStart w:id="451" w:name="_Toc165623810"/>
      <w:r/>
      <w:bookmarkStart w:id="452" w:name="_Toc164871209"/>
      <w:r/>
      <w:bookmarkStart w:id="453" w:name="_Toc166101237"/>
      <w:r/>
      <w:bookmarkStart w:id="454" w:name="_Ref166247657"/>
      <w:r/>
      <w:bookmarkStart w:id="455" w:name="_Ref166247661"/>
      <w:r/>
      <w:bookmarkStart w:id="456" w:name="_Ref166249240"/>
      <w:r/>
      <w:bookmarkStart w:id="457" w:name="_Ref166249243"/>
      <w:r/>
      <w:bookmarkStart w:id="458" w:name="_Ref166311450"/>
      <w:r/>
      <w:bookmarkStart w:id="459" w:name="_Ref166311452"/>
      <w:r/>
      <w:bookmarkStart w:id="460" w:name="_Ref166334805"/>
      <w:r/>
      <w:bookmarkStart w:id="461" w:name="_Ref166334809"/>
      <w:r/>
      <w:bookmarkStart w:id="462" w:name="_Toc291689566"/>
      <w:r/>
      <w:bookmarkStart w:id="463" w:name="_Toc243045094"/>
      <w:r/>
      <w:bookmarkEnd w:id="337"/>
      <w:r/>
      <w:bookmarkEnd w:id="338"/>
      <w:r/>
      <w:bookmarkEnd w:id="339"/>
      <w:r>
        <w:rPr>
          <w:sz w:val="24"/>
          <w:szCs w:val="24"/>
        </w:rPr>
        <w:t xml:space="preserve">Согласие на обработку персональных данных</w:t>
      </w:r>
      <w:bookmarkEnd w:id="451"/>
      <w:r/>
      <w:bookmarkEnd w:id="452"/>
      <w:r/>
      <w:bookmarkEnd w:id="463"/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jc w:val="center"/>
        <w:rPr>
          <w:b/>
        </w:rPr>
      </w:pPr>
      <w:r>
        <w:rPr>
          <w:b/>
        </w:rPr>
        <w:t xml:space="preserve">от «_____» ____________ 201___</w:t>
      </w:r>
      <w:r>
        <w:rPr>
          <w:b/>
        </w:rPr>
        <w:t xml:space="preserve">_ г.</w:t>
      </w:r>
      <w:r>
        <w:rPr>
          <w:b/>
        </w:rPr>
      </w:r>
    </w:p>
    <w:p>
      <w:r/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spacing w:after="0"/>
        <w:widowControl w:val="off"/>
      </w:pPr>
      <w:r>
        <w:t xml:space="preserve">Настоящим ___________________________________________________________________</w:t>
      </w:r>
      <w:r/>
    </w:p>
    <w:p>
      <w:pPr>
        <w:jc w:val="center"/>
        <w:spacing w:after="0"/>
        <w:widowControl w:val="off"/>
        <w:rPr>
          <w:i/>
        </w:rPr>
      </w:pPr>
      <w:r>
        <w:rPr>
          <w:i/>
        </w:rPr>
        <w:t xml:space="preserve">(указывается</w:t>
      </w:r>
      <w:r>
        <w:t xml:space="preserve"> </w:t>
      </w:r>
      <w:r>
        <w:rPr>
          <w:i/>
        </w:rPr>
        <w:t xml:space="preserve">полное наименование участника / победителя закупочной процедуры</w:t>
      </w:r>
      <w:r>
        <w:rPr>
          <w:i/>
        </w:rPr>
      </w:r>
    </w:p>
    <w:p>
      <w:pPr>
        <w:jc w:val="center"/>
        <w:spacing w:after="0"/>
        <w:widowControl w:val="off"/>
      </w:pPr>
      <w:r>
        <w:rPr>
          <w:b/>
          <w:i/>
        </w:rPr>
        <w:t xml:space="preserve">_____________________________________________________________________________</w:t>
      </w:r>
      <w:r>
        <w:t xml:space="preserve"> </w:t>
      </w:r>
      <w:r>
        <w:rPr>
          <w:i/>
        </w:rPr>
        <w:t xml:space="preserve">(потенциального контрагента), контрагента)</w:t>
      </w:r>
      <w:r/>
    </w:p>
    <w:p>
      <w:pPr>
        <w:spacing w:after="0"/>
        <w:widowControl w:val="off"/>
      </w:pPr>
      <w:r/>
      <w:r/>
    </w:p>
    <w:p>
      <w:pPr>
        <w:spacing w:after="0"/>
        <w:widowControl w:val="off"/>
      </w:pPr>
      <w:r>
        <w:t xml:space="preserve">Адрес регистрации: ____________________________________________________________</w:t>
      </w:r>
      <w:r/>
    </w:p>
    <w:p>
      <w:pPr>
        <w:spacing w:after="0"/>
        <w:widowControl w:val="off"/>
      </w:pPr>
      <w:r/>
      <w:r/>
    </w:p>
    <w:p>
      <w:pPr>
        <w:spacing w:after="0"/>
        <w:widowControl w:val="off"/>
      </w:pPr>
      <w:r>
        <w:t xml:space="preserve">Свидетельство о регистрации: ________________________</w:t>
      </w:r>
      <w:r>
        <w:t xml:space="preserve">___________________________ </w:t>
      </w:r>
      <w:r/>
    </w:p>
    <w:p>
      <w:pPr>
        <w:spacing w:after="0"/>
        <w:widowControl w:val="off"/>
        <w:rPr>
          <w:b/>
          <w:i/>
        </w:rPr>
      </w:pPr>
      <w:r>
        <w:rPr>
          <w:b/>
          <w:i/>
        </w:rPr>
      </w:r>
      <w:r>
        <w:rPr>
          <w:b/>
          <w:i/>
        </w:rPr>
      </w:r>
    </w:p>
    <w:p>
      <w:pPr>
        <w:spacing w:after="0"/>
        <w:widowControl w:val="off"/>
        <w:rPr>
          <w:b/>
          <w:i/>
        </w:rPr>
      </w:pPr>
      <w:r>
        <w:rPr>
          <w:i/>
        </w:rPr>
        <w:t xml:space="preserve">ИНН </w:t>
      </w:r>
      <w:r>
        <w:rPr>
          <w:b/>
          <w:i/>
        </w:rPr>
        <w:t xml:space="preserve">__________________________</w:t>
      </w:r>
      <w:r>
        <w:rPr>
          <w:b/>
          <w:i/>
        </w:rPr>
      </w:r>
    </w:p>
    <w:p>
      <w:pPr>
        <w:spacing w:after="0"/>
        <w:widowControl w:val="off"/>
        <w:rPr>
          <w:b/>
          <w:i/>
        </w:rPr>
      </w:pPr>
      <w:r>
        <w:rPr>
          <w:i/>
        </w:rPr>
        <w:t xml:space="preserve">КПП </w:t>
      </w:r>
      <w:r>
        <w:rPr>
          <w:b/>
          <w:i/>
        </w:rPr>
        <w:t xml:space="preserve">__________________________</w:t>
      </w:r>
      <w:r>
        <w:rPr>
          <w:b/>
          <w:i/>
        </w:rPr>
      </w:r>
    </w:p>
    <w:p>
      <w:pPr>
        <w:spacing w:after="0"/>
        <w:widowControl w:val="off"/>
      </w:pPr>
      <w:r>
        <w:rPr>
          <w:i/>
        </w:rPr>
        <w:t xml:space="preserve">ОГРН _________________________</w:t>
      </w:r>
      <w:r/>
    </w:p>
    <w:p>
      <w:pPr>
        <w:spacing w:after="0"/>
        <w:widowControl w:val="off"/>
      </w:pPr>
      <w:r/>
      <w:r/>
    </w:p>
    <w:p>
      <w:pPr>
        <w:spacing w:after="0"/>
        <w:widowControl w:val="off"/>
        <w:rPr>
          <w:b/>
          <w:i/>
        </w:rPr>
      </w:pPr>
      <w:r>
        <w:t xml:space="preserve">в лице</w:t>
      </w:r>
      <w:r>
        <w:rPr>
          <w:b/>
          <w:i/>
        </w:rPr>
        <w:t xml:space="preserve"> _______________________________________________________________________</w:t>
      </w:r>
      <w:r>
        <w:rPr>
          <w:b/>
          <w:i/>
        </w:rPr>
      </w:r>
    </w:p>
    <w:p>
      <w:pPr>
        <w:jc w:val="center"/>
        <w:spacing w:after="0"/>
        <w:rPr>
          <w:bCs/>
          <w:i/>
          <w:iCs/>
        </w:rPr>
      </w:pPr>
      <w:r>
        <w:rPr>
          <w:i/>
        </w:rPr>
        <w:t xml:space="preserve">(указываются Ф.И.О.,</w:t>
      </w:r>
      <w:r>
        <w:rPr>
          <w:bCs/>
          <w:i/>
          <w:iCs/>
        </w:rPr>
        <w:t xml:space="preserve"> адрес, номер основного документа, удостоверяющего личность,</w:t>
      </w:r>
      <w:r>
        <w:rPr>
          <w:bCs/>
          <w:i/>
          <w:iCs/>
        </w:rPr>
      </w:r>
    </w:p>
    <w:p>
      <w:pPr>
        <w:spacing w:after="0"/>
      </w:pPr>
      <w:r>
        <w:rPr>
          <w:b/>
          <w:bCs/>
          <w:i/>
          <w:iCs/>
        </w:rPr>
        <w:t xml:space="preserve">_____________________________________________________________________________</w:t>
      </w:r>
      <w:r>
        <w:rPr>
          <w:bCs/>
          <w:iCs/>
        </w:rPr>
        <w:t xml:space="preserve">,</w:t>
      </w:r>
      <w:r/>
    </w:p>
    <w:p>
      <w:pPr>
        <w:jc w:val="center"/>
        <w:spacing w:after="0"/>
        <w:rPr>
          <w:b/>
          <w:bCs/>
          <w:i/>
          <w:iCs/>
        </w:rPr>
      </w:pPr>
      <w:r>
        <w:rPr>
          <w:bCs/>
          <w:i/>
          <w:iCs/>
        </w:rPr>
        <w:t xml:space="preserve">сведения о дате выдачи </w:t>
      </w:r>
      <w:r>
        <w:rPr>
          <w:bCs/>
          <w:i/>
          <w:iCs/>
        </w:rPr>
        <w:t xml:space="preserve">указанного документа и выдавшем его органе)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</w:r>
    </w:p>
    <w:p>
      <w:pPr>
        <w:spacing w:after="0"/>
        <w:widowControl w:val="off"/>
        <w:rPr>
          <w:b/>
          <w:i/>
        </w:rPr>
      </w:pPr>
      <w:r>
        <w:rPr>
          <w:b/>
          <w:i/>
        </w:rPr>
      </w:r>
      <w:r>
        <w:rPr>
          <w:b/>
          <w:i/>
        </w:rPr>
      </w:r>
    </w:p>
    <w:p>
      <w:pPr>
        <w:spacing w:after="0"/>
        <w:widowControl w:val="off"/>
      </w:pPr>
      <w:r>
        <w:rPr>
          <w:i/>
        </w:rPr>
        <w:t xml:space="preserve">действующего на основании </w:t>
      </w:r>
      <w:r>
        <w:rPr>
          <w:b/>
          <w:i/>
        </w:rPr>
        <w:t xml:space="preserve">_____________________________________</w:t>
      </w:r>
      <w:r>
        <w:t xml:space="preserve">,</w:t>
      </w:r>
      <w:r>
        <w:rPr>
          <w:b/>
          <w:i/>
        </w:rPr>
        <w:t xml:space="preserve"> </w:t>
      </w:r>
      <w:r>
        <w:t xml:space="preserve">дает свое согласие ПАО «Россети», зарегистрированному по адресу: г. Москва, ул. Беловежская, д. 4,</w:t>
      </w:r>
      <w:r>
        <w:rPr>
          <w:b/>
          <w:i/>
        </w:rPr>
        <w:t xml:space="preserve"> </w:t>
      </w:r>
      <w:r>
        <w:t xml:space="preserve">ДО </w:t>
      </w:r>
      <w:r>
        <w:br/>
        <w:t xml:space="preserve">ПАО «Россети»</w:t>
      </w:r>
      <w:r>
        <w:rPr>
          <w:b/>
        </w:rPr>
        <w:t xml:space="preserve"> </w:t>
      </w:r>
      <w:r>
        <w:rPr>
          <w:i/>
        </w:rPr>
        <w:t xml:space="preserve">(указываются организационно-</w:t>
      </w:r>
      <w:r>
        <w:rPr>
          <w:i/>
        </w:rPr>
        <w:t xml:space="preserve">правовая форма и полное наименование),**</w:t>
      </w:r>
      <w:r>
        <w:rPr>
          <w:b/>
          <w:i/>
        </w:rPr>
        <w:t xml:space="preserve"> </w:t>
      </w:r>
      <w:r>
        <w:t xml:space="preserve">зарегистрированному по адресу: _____________________, 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</w:t>
      </w:r>
      <w:r>
        <w:t xml:space="preserve">ика / победителя закупки (потенциального контрагента) / контрагента / третьего лица, привлеченного контрагентом к исполнению своих обязательств по договору: фамилия имя отчество, серия и номер документа, удостоверяющего личность, сведения о дате выдачи ука</w:t>
      </w:r>
      <w:r>
        <w:t xml:space="preserve">занного документа и выдавшем его органе, адрес регистрации, ИНН - на совершение действий, предусмотренных п. 3 ст. 3 Федерального закона от 27.07.2006№ 152-ФЗ «О персональных данных», в том числе с использованием информационных систем, а также на представл</w:t>
      </w:r>
      <w:r>
        <w:t xml:space="preserve">ение указанной информации в уполномоченные государственные органы (Минэнерго России, Росфинмониторинг, ФНС России) и подтверждает, что получил согласие на обработку персональных данных от всех своих собственников (участников, учредителей, акционеров), руко</w:t>
      </w:r>
      <w:r>
        <w:t xml:space="preserve">водителей и бенефициаров.***</w:t>
      </w:r>
      <w:r/>
    </w:p>
    <w:p>
      <w:pPr>
        <w:ind w:firstLine="709"/>
        <w:spacing w:after="0"/>
        <w:widowControl w:val="off"/>
      </w:pPr>
      <w:r>
        <w:t xml:space="preserve"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273-ФЗ «О противодействии коррупции», выполнение поручений</w:t>
      </w:r>
      <w:r>
        <w:t xml:space="preserve"> Правительства Российской Федерации от 28.12.2011 № ВП-П13-9308, протокольного решения Комиссии при 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</w:t>
      </w:r>
      <w:r>
        <w:t xml:space="preserve">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r/>
    </w:p>
    <w:p>
      <w:pPr>
        <w:ind w:firstLine="709"/>
        <w:spacing w:after="0"/>
        <w:widowControl w:val="off"/>
      </w:pPr>
      <w:r>
        <w:t xml:space="preserve">Срок, в течение котор</w:t>
      </w:r>
      <w:r>
        <w:t xml:space="preserve">ого действует настоящее согласие: со дня его подписания </w:t>
      </w:r>
      <w:r>
        <w:br/>
        <w:t xml:space="preserve">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</w:t>
      </w:r>
      <w:r>
        <w:br/>
      </w:r>
      <w:r>
        <w:t xml:space="preserve">о прекращении обработки его персональны</w:t>
      </w:r>
      <w:r>
        <w:t xml:space="preserve">х данных.</w:t>
      </w:r>
      <w:r/>
    </w:p>
    <w:p>
      <w:pPr>
        <w:ind w:firstLine="709"/>
        <w:spacing w:after="0"/>
        <w:widowControl w:val="off"/>
      </w:pPr>
      <w:r/>
      <w:r/>
    </w:p>
    <w:p>
      <w:pPr>
        <w:spacing w:after="0"/>
        <w:widowControl w:val="off"/>
      </w:pPr>
      <w:r>
        <w:t xml:space="preserve">____________________________                                               ___________________________</w:t>
      </w:r>
      <w:r/>
    </w:p>
    <w:p>
      <w:pPr>
        <w:contextualSpacing/>
        <w:spacing w:after="0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(Подпись субъекта персональных данных /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(Ф.И.О. и должность подписавшего*)</w:t>
      </w:r>
      <w:r>
        <w:rPr>
          <w:sz w:val="18"/>
          <w:szCs w:val="18"/>
        </w:rPr>
      </w:r>
    </w:p>
    <w:p>
      <w:pPr>
        <w:contextualSpacing/>
        <w:spacing w:after="0"/>
        <w:widowControl w:val="off"/>
        <w:rPr>
          <w:sz w:val="18"/>
          <w:szCs w:val="18"/>
        </w:rPr>
      </w:pPr>
      <w:r>
        <w:rPr>
          <w:sz w:val="18"/>
          <w:szCs w:val="18"/>
        </w:rPr>
        <w:t xml:space="preserve">уполномоченного представителя)  </w:t>
      </w:r>
      <w:r>
        <w:rPr>
          <w:sz w:val="18"/>
          <w:szCs w:val="18"/>
        </w:rPr>
        <w:t xml:space="preserve">                                              </w:t>
      </w:r>
      <w:r>
        <w:rPr>
          <w:sz w:val="18"/>
          <w:szCs w:val="18"/>
        </w:rPr>
      </w:r>
    </w:p>
    <w:p>
      <w:pPr>
        <w:spacing w:after="0"/>
        <w:widowControl w:val="off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spacing w:after="0"/>
        <w:widowControl w:val="off"/>
        <w:rPr>
          <w:b/>
          <w:bCs/>
        </w:rPr>
      </w:pPr>
      <w:r>
        <w:rPr>
          <w:b/>
          <w:bCs/>
        </w:rPr>
        <w:t xml:space="preserve">М.П.</w:t>
      </w:r>
      <w:r>
        <w:rPr>
          <w:b/>
          <w:bCs/>
        </w:rPr>
      </w:r>
    </w:p>
    <w:p>
      <w:pPr>
        <w:spacing w:after="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/>
        <w:widowControl w:val="off"/>
        <w:rPr>
          <w:b/>
          <w:sz w:val="20"/>
          <w:szCs w:val="20"/>
        </w:rPr>
      </w:pPr>
      <w:r>
        <w:rPr>
          <w:sz w:val="20"/>
          <w:szCs w:val="20"/>
        </w:rPr>
        <w:t xml:space="preserve">* Указываются фамилия, имя, отчество, а</w:t>
      </w:r>
      <w:r>
        <w:rPr>
          <w:sz w:val="20"/>
          <w:szCs w:val="20"/>
        </w:rPr>
        <w:t xml:space="preserve">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</w:t>
      </w:r>
      <w:r>
        <w:rPr>
          <w:sz w:val="20"/>
          <w:szCs w:val="20"/>
        </w:rPr>
        <w:t xml:space="preserve">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данных). </w:t>
      </w:r>
      <w:r>
        <w:rPr>
          <w:b/>
          <w:sz w:val="20"/>
          <w:szCs w:val="20"/>
        </w:rPr>
      </w:r>
    </w:p>
    <w:p>
      <w:pPr>
        <w:spacing w:after="0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** При заключении договоров ПАО «Россети», ДО ПАО «Россети» обязаны получить согласие на обработку персональных данных участника закупки (потенциального контрагента / контрагента / третьего лица, привлеченного контрагентом к исполнению своих обязательств </w:t>
      </w:r>
      <w:r>
        <w:rPr>
          <w:sz w:val="20"/>
          <w:szCs w:val="20"/>
        </w:rPr>
        <w:t xml:space="preserve">по договору,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руководителей)).</w:t>
      </w:r>
      <w:r>
        <w:rPr>
          <w:sz w:val="20"/>
          <w:szCs w:val="20"/>
        </w:rPr>
      </w:r>
    </w:p>
    <w:p>
      <w:pPr>
        <w:spacing w:after="0"/>
        <w:widowControl w:val="off"/>
        <w:rPr>
          <w:rStyle w:val="1477"/>
          <w:b w:val="0"/>
          <w:caps/>
          <w:sz w:val="28"/>
          <w:szCs w:val="28"/>
        </w:rPr>
      </w:pPr>
      <w:r>
        <w:rPr>
          <w:sz w:val="20"/>
          <w:szCs w:val="20"/>
        </w:rPr>
        <w:t xml:space="preserve">*</w:t>
      </w:r>
      <w:r>
        <w:rPr>
          <w:sz w:val="20"/>
          <w:szCs w:val="20"/>
        </w:rPr>
        <w:t xml:space="preserve">** 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 б</w:t>
      </w:r>
      <w:r>
        <w:rPr>
          <w:sz w:val="20"/>
          <w:szCs w:val="20"/>
        </w:rPr>
        <w:t xml:space="preserve">енефициарах исключает ответственность ПАО «Россети», ДО ПАО «Россети» перед</w:t>
      </w:r>
      <w:r>
        <w:rPr>
          <w:spacing w:val="-4"/>
          <w:sz w:val="20"/>
          <w:szCs w:val="20"/>
        </w:rPr>
        <w:t xml:space="preserve"> руководителем, собственником (участником, учредителем, акционером), а также бенефициаром</w:t>
      </w:r>
      <w:r>
        <w:rPr>
          <w:sz w:val="20"/>
          <w:szCs w:val="20"/>
        </w:rPr>
        <w:t xml:space="preserve"> участника закупки / контрагента / третьего лица, привлеченного контрагентом к исполнению св</w:t>
      </w:r>
      <w:r>
        <w:rPr>
          <w:sz w:val="20"/>
          <w:szCs w:val="20"/>
        </w:rPr>
        <w:t xml:space="preserve">оих обязательств по договору, за предоставление </w:t>
      </w:r>
      <w:r>
        <w:rPr>
          <w:spacing w:val="-4"/>
          <w:sz w:val="20"/>
          <w:szCs w:val="20"/>
        </w:rPr>
        <w:t xml:space="preserve">ПАО «Россети»</w:t>
      </w:r>
      <w:r>
        <w:rPr>
          <w:sz w:val="20"/>
          <w:szCs w:val="20"/>
        </w:rPr>
        <w:t xml:space="preserve"> данных о руководителе, собственниках (участниках, учредителях, акционерах), в том числе бенефициарах и бенефициарах третьего лица, привлеченного контрагентом к исполнению своих обязательств по договору, и предполагает, что </w:t>
      </w:r>
      <w:r>
        <w:rPr>
          <w:spacing w:val="-4"/>
          <w:sz w:val="20"/>
          <w:szCs w:val="20"/>
        </w:rPr>
        <w:t xml:space="preserve">участник закупки (потенциальный </w:t>
      </w:r>
      <w:r>
        <w:rPr>
          <w:spacing w:val="-4"/>
          <w:sz w:val="20"/>
          <w:szCs w:val="20"/>
        </w:rPr>
        <w:t xml:space="preserve">контрагент) / контрагент получил у руководителя, своих бенефициаров и бенефициаров</w:t>
      </w:r>
      <w:r>
        <w:rPr>
          <w:sz w:val="20"/>
          <w:szCs w:val="20"/>
        </w:rPr>
        <w:t xml:space="preserve"> третьих лиц, привлеченных контрагентом к исполнению своих обязательств по договору согласие </w:t>
      </w:r>
      <w:r>
        <w:rPr>
          <w:spacing w:val="-4"/>
          <w:sz w:val="20"/>
          <w:szCs w:val="20"/>
        </w:rPr>
        <w:t xml:space="preserve">на представление (обработку) ПАО «Россети», ДО ПАО «Россети»</w:t>
      </w:r>
      <w:r>
        <w:rPr>
          <w:sz w:val="20"/>
          <w:szCs w:val="20"/>
        </w:rPr>
        <w:t xml:space="preserve"> и в уполномоченные г</w:t>
      </w:r>
      <w:r>
        <w:rPr>
          <w:sz w:val="20"/>
          <w:szCs w:val="20"/>
        </w:rPr>
        <w:t xml:space="preserve">осударственные органы указанных сведений</w:t>
      </w:r>
      <w:r>
        <w:rPr>
          <w:rStyle w:val="1477"/>
          <w:b w:val="0"/>
          <w:caps/>
          <w:sz w:val="28"/>
          <w:szCs w:val="28"/>
        </w:rPr>
      </w:r>
    </w:p>
    <w:p>
      <w:pPr>
        <w:pStyle w:val="1114"/>
        <w:numPr>
          <w:ilvl w:val="0"/>
          <w:numId w:val="6"/>
        </w:numPr>
        <w:ind w:left="0" w:firstLine="567"/>
        <w:pageBreakBefore/>
        <w:spacing w:before="0" w:after="0"/>
        <w:rPr>
          <w:rStyle w:val="1477"/>
          <w:b/>
          <w:caps/>
          <w:sz w:val="28"/>
          <w:szCs w:val="28"/>
        </w:rPr>
      </w:pPr>
      <w:r/>
      <w:bookmarkStart w:id="464" w:name="_Toc243045095"/>
      <w:r>
        <w:rPr>
          <w:rStyle w:val="1477"/>
          <w:b/>
          <w:caps/>
          <w:sz w:val="28"/>
          <w:szCs w:val="28"/>
        </w:rPr>
        <w:t xml:space="preserve">ПРОЕКТ ДОГОВОРА</w:t>
      </w:r>
      <w:bookmarkEnd w:id="453"/>
      <w:r/>
      <w:bookmarkEnd w:id="454"/>
      <w:r/>
      <w:bookmarkEnd w:id="455"/>
      <w:r/>
      <w:bookmarkEnd w:id="456"/>
      <w:r/>
      <w:bookmarkEnd w:id="457"/>
      <w:r/>
      <w:bookmarkEnd w:id="458"/>
      <w:r/>
      <w:bookmarkEnd w:id="459"/>
      <w:r/>
      <w:bookmarkEnd w:id="460"/>
      <w:r/>
      <w:bookmarkEnd w:id="461"/>
      <w:r/>
      <w:bookmarkEnd w:id="462"/>
      <w:r/>
      <w:bookmarkEnd w:id="464"/>
      <w:r/>
      <w:r>
        <w:rPr>
          <w:rStyle w:val="1477"/>
          <w:b/>
          <w:caps/>
          <w:sz w:val="28"/>
          <w:szCs w:val="28"/>
        </w:rPr>
      </w:r>
    </w:p>
    <w:p>
      <w:pPr>
        <w:pStyle w:val="1114"/>
        <w:numPr>
          <w:ilvl w:val="0"/>
          <w:numId w:val="21"/>
        </w:numPr>
        <w:spacing w:before="0" w:after="0"/>
        <w:rPr>
          <w:rStyle w:val="1477"/>
          <w:b/>
          <w:sz w:val="28"/>
          <w:szCs w:val="28"/>
        </w:rPr>
      </w:pPr>
      <w:r/>
      <w:bookmarkStart w:id="465" w:name="_Toc166101238"/>
      <w:r/>
      <w:bookmarkStart w:id="466" w:name="_Ref166247676"/>
      <w:r/>
      <w:bookmarkStart w:id="467" w:name="_Toc291689567"/>
      <w:r/>
      <w:bookmarkStart w:id="468" w:name="_Toc243045096"/>
      <w:r/>
      <w:bookmarkEnd w:id="465"/>
      <w:r>
        <w:rPr>
          <w:rStyle w:val="1477"/>
          <w:b/>
          <w:sz w:val="28"/>
          <w:szCs w:val="28"/>
        </w:rPr>
        <w:t xml:space="preserve">ТЕХНИЧЕСКАЯ ЧАСТЬ</w:t>
      </w:r>
      <w:bookmarkEnd w:id="466"/>
      <w:r/>
      <w:bookmarkEnd w:id="467"/>
      <w:r/>
      <w:bookmarkEnd w:id="468"/>
      <w:r/>
      <w:r>
        <w:rPr>
          <w:rStyle w:val="1477"/>
          <w:b/>
          <w:sz w:val="28"/>
          <w:szCs w:val="28"/>
        </w:rPr>
      </w:r>
    </w:p>
    <w:p>
      <w:pPr>
        <w:pStyle w:val="1114"/>
        <w:numPr>
          <w:ilvl w:val="0"/>
          <w:numId w:val="21"/>
        </w:numPr>
        <w:spacing w:before="0" w:after="0"/>
        <w:rPr>
          <w:rStyle w:val="1477"/>
          <w:b/>
          <w:caps/>
          <w:sz w:val="28"/>
          <w:szCs w:val="28"/>
        </w:rPr>
      </w:pPr>
      <w:r/>
      <w:bookmarkStart w:id="469" w:name="_Toc243045097"/>
      <w:r>
        <w:rPr>
          <w:rStyle w:val="1477"/>
          <w:b/>
          <w:caps/>
          <w:sz w:val="28"/>
          <w:szCs w:val="28"/>
        </w:rPr>
        <w:t xml:space="preserve">Обоснование начальной (максимальной) цены ДОГОВОРА</w:t>
      </w:r>
      <w:bookmarkEnd w:id="469"/>
      <w:r/>
      <w:r>
        <w:rPr>
          <w:rStyle w:val="1477"/>
          <w:b/>
          <w:caps/>
          <w:sz w:val="28"/>
          <w:szCs w:val="28"/>
        </w:rPr>
      </w:r>
    </w:p>
    <w:p>
      <w:pPr>
        <w:rPr>
          <w:rStyle w:val="1477"/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rStyle w:val="1477"/>
          <w:b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340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Arial (WT)">
    <w:panose1 w:val="020B0604020202020204"/>
  </w:font>
  <w:font w:name="TimesNewRomanPSMT">
    <w:panose1 w:val="02020603050405020304"/>
  </w:font>
  <w:font w:name="ISOCPEUR">
    <w:panose1 w:val="02000603000000000000"/>
  </w:font>
  <w:font w:name="MS Mincho">
    <w:panose1 w:val="02020603050405090304"/>
  </w:font>
  <w:font w:name="Tahoma">
    <w:panose1 w:val="020B0604030504040204"/>
  </w:font>
  <w:font w:name="Courier New">
    <w:panose1 w:val="02070309020205020404"/>
  </w:font>
  <w:font w:name="TimesDL">
    <w:panose1 w:val="02000603000000000000"/>
  </w:font>
  <w:font w:name="Courier">
    <w:panose1 w:val="02070309020205020404"/>
  </w:font>
  <w:font w:name="Arial CYR">
    <w:panose1 w:val="020B0604020202020204"/>
  </w:font>
  <w:font w:name="Franklin Gothic Demi Cond">
    <w:panose1 w:val="020B0706020203020204"/>
  </w:font>
  <w:font w:name="Noto Sans Devanagari">
    <w:panose1 w:val="020B0502040504020204"/>
  </w:font>
  <w:font w:name="Cambria">
    <w:panose1 w:val="02040503050406030204"/>
  </w:font>
  <w:font w:name="Arial Narrow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firstLine="567"/>
      <w:jc w:val="right"/>
      <w:rPr>
        <w:rStyle w:val="1385"/>
        <w:bCs/>
        <w:sz w:val="16"/>
        <w:szCs w:val="16"/>
      </w:rPr>
    </w:pPr>
    <w:r>
      <w:rPr>
        <w:bCs/>
        <w:sz w:val="16"/>
        <w:szCs w:val="16"/>
      </w:rPr>
      <w:t xml:space="preserve">Стр.</w:t>
    </w:r>
    <w:r>
      <w:rPr>
        <w:rStyle w:val="1385"/>
        <w:bCs/>
        <w:sz w:val="16"/>
        <w:szCs w:val="16"/>
      </w:rPr>
      <w:fldChar w:fldCharType="begin"/>
    </w:r>
    <w:r>
      <w:rPr>
        <w:rStyle w:val="1385"/>
        <w:bCs/>
        <w:sz w:val="16"/>
        <w:szCs w:val="16"/>
      </w:rPr>
      <w:instrText xml:space="preserve"> PAGE </w:instrText>
    </w:r>
    <w:r>
      <w:rPr>
        <w:rStyle w:val="1385"/>
        <w:bCs/>
        <w:sz w:val="16"/>
        <w:szCs w:val="16"/>
      </w:rPr>
      <w:fldChar w:fldCharType="separate"/>
    </w:r>
    <w:r>
      <w:rPr>
        <w:rStyle w:val="1385"/>
        <w:bCs/>
        <w:sz w:val="16"/>
        <w:szCs w:val="16"/>
      </w:rPr>
      <w:t xml:space="preserve">31</w:t>
    </w:r>
    <w:r>
      <w:rPr>
        <w:rStyle w:val="1385"/>
        <w:bCs/>
        <w:sz w:val="16"/>
        <w:szCs w:val="16"/>
      </w:rPr>
      <w:fldChar w:fldCharType="end"/>
    </w:r>
    <w:r>
      <w:rPr>
        <w:rStyle w:val="1385"/>
        <w:bCs/>
        <w:sz w:val="16"/>
        <w:szCs w:val="16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108232082"/>
      <w:docPartObj>
        <w:docPartGallery w:val="Page Numbers (Bottom of Page)"/>
        <w:docPartUnique w:val="true"/>
      </w:docPartObj>
      <w:rPr/>
    </w:sdtPr>
    <w:sdtContent>
      <w:p>
        <w:pPr>
          <w:pStyle w:val="1386"/>
          <w:jc w:val="right"/>
        </w:pPr>
        <w:r>
          <w:fldChar w:fldCharType="begin"/>
        </w:r>
        <w:r>
          <w:instrText xml:space="preserve">PAGE   \* MERGEFOR</w:instrText>
        </w:r>
        <w:r>
          <w:instrText xml:space="preserve">MAT</w:instrText>
        </w:r>
        <w:r>
          <w:fldChar w:fldCharType="separate"/>
        </w:r>
        <w:r>
          <w:t xml:space="preserve">63</w:t>
        </w:r>
        <w:r>
          <w:fldChar w:fldCharType="end"/>
        </w:r>
        <w:r/>
      </w:p>
    </w:sdtContent>
  </w:sdt>
  <w:p>
    <w:pPr>
      <w:pStyle w:val="138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86"/>
      <w:jc w:val="righ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</w:footnote>
  <w:footnote w:id="2">
    <w:p>
      <w:pPr>
        <w:pStyle w:val="1383"/>
      </w:pPr>
      <w:r>
        <w:rPr>
          <w:rStyle w:val="1382"/>
        </w:rPr>
        <w:footnoteRef/>
      </w:r>
      <w:r>
        <w:t xml:space="preserve"> Под ценовым предложением в целях предоставления преимущества также понимается общая стоимость единичных расценок, уменьше</w:t>
      </w:r>
      <w:r>
        <w:t xml:space="preserve">нная на коэффициент снижения, предложенный участником, если в соответствии с документацией о закупке он установлен в качестве конкурентного параметра (используемого для сравнения предложений участников)</w:t>
      </w:r>
      <w:r/>
    </w:p>
  </w:footnote>
  <w:footnote w:id="3">
    <w:p>
      <w:pPr>
        <w:pStyle w:val="1383"/>
      </w:pPr>
      <w:r>
        <w:rPr>
          <w:rStyle w:val="1382"/>
        </w:rPr>
        <w:footnoteRef/>
      </w:r>
      <w:r>
        <w:t xml:space="preserve"> Предоставление независимой гарантии на срок, превыш</w:t>
      </w:r>
      <w:r>
        <w:t xml:space="preserve">ающий 100 календарных дней, не является основанием для отклонения заявки участника.</w:t>
      </w:r>
      <w:r/>
    </w:p>
  </w:footnote>
  <w:footnote w:id="4">
    <w:p>
      <w:pPr>
        <w:pStyle w:val="1383"/>
      </w:pPr>
      <w:r>
        <w:rPr>
          <w:rStyle w:val="1382"/>
        </w:rPr>
        <w:footnoteRef/>
      </w:r>
      <w:r>
        <w:t xml:space="preserve"> </w:t>
      </w:r>
      <w:r>
        <w:rPr>
          <w:spacing w:val="-4"/>
        </w:rPr>
        <w:t xml:space="preserve">Прямой или косвенный контроль Банка России или Российской Федерации определяется на основании информации, указанной в перечне кредитных организаций, соответствующих требо</w:t>
      </w:r>
      <w:r>
        <w:rPr>
          <w:spacing w:val="-4"/>
        </w:rPr>
        <w:t xml:space="preserve">ваниям, установленным ч. 1 ст. 2 Федерального закона от 21.07.2014 № 213-ФЗ, размещенного на сайте Банка России http://www.cbr.ru/credit/ (в случае если соответствующая информация в указанном перечне не раскрывается, прямой или косвенный контроль Банка Рос</w:t>
      </w:r>
      <w:r>
        <w:rPr>
          <w:spacing w:val="-4"/>
        </w:rPr>
        <w:t xml:space="preserve">сии или Российской Федерации подтверждается на основании письма банка-гаранта (оригинал), зарегистрированном банком не ранее чем за 6 месяцев до даты выдачи</w:t>
      </w:r>
      <w:r>
        <w:t xml:space="preserve"> независимой гарантии).</w:t>
      </w:r>
      <w:r/>
    </w:p>
  </w:footnote>
  <w:footnote w:id="5">
    <w:p>
      <w:pPr>
        <w:ind w:firstLine="540"/>
        <w:outlineLvl w:val="0"/>
      </w:pPr>
      <w:r>
        <w:rPr>
          <w:sz w:val="20"/>
          <w:szCs w:val="20"/>
          <w:vertAlign w:val="superscript"/>
        </w:rPr>
        <w:footnoteRef/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 xml:space="preserve">Данные о наличии банковской лицензии могут быть проверены на официальном с</w:t>
      </w:r>
      <w:r>
        <w:rPr>
          <w:sz w:val="20"/>
          <w:szCs w:val="20"/>
        </w:rPr>
        <w:t xml:space="preserve">айте Банка России по адресу http://www.cbr.ru/credit/.</w:t>
      </w:r>
      <w:r/>
    </w:p>
  </w:footnote>
  <w:footnote w:id="6">
    <w:p>
      <w:pPr>
        <w:ind w:firstLine="540"/>
        <w:outlineLvl w:val="0"/>
      </w:pPr>
      <w:r>
        <w:rPr>
          <w:rStyle w:val="1382"/>
        </w:rPr>
        <w:footnoteRef/>
      </w:r>
      <w:r>
        <w:rPr>
          <w:rStyle w:val="1382"/>
        </w:rPr>
        <w:t xml:space="preserve"> </w:t>
      </w:r>
      <w:r>
        <w:rPr>
          <w:sz w:val="20"/>
          <w:szCs w:val="20"/>
        </w:rPr>
        <w:t xml:space="preserve">В частности, запрет или ограничение на прием вкладов от физических лиц, если такая информация опубликована в официальных источниках и/или на официальном сайте Банка России по адресу https://www.cbr.r</w:t>
      </w:r>
      <w:r>
        <w:rPr>
          <w:sz w:val="20"/>
          <w:szCs w:val="20"/>
        </w:rPr>
        <w:t xml:space="preserve">u/analytics/strform/.</w:t>
      </w:r>
      <w:r/>
    </w:p>
  </w:footnote>
  <w:footnote w:id="7">
    <w:p>
      <w:pPr>
        <w:ind w:firstLine="540"/>
        <w:rPr>
          <w:sz w:val="20"/>
          <w:szCs w:val="20"/>
        </w:rPr>
        <w:outlineLvl w:val="0"/>
      </w:pPr>
      <w:r>
        <w:rPr>
          <w:rStyle w:val="1382"/>
        </w:rPr>
        <w:footnoteRef/>
      </w:r>
      <w:r>
        <w:rPr>
          <w:sz w:val="20"/>
          <w:szCs w:val="20"/>
        </w:rPr>
        <w:t xml:space="preserve"> Система страхования вкладов - система обязательного страхования вкладов физических лиц в банках Российской Федерации, определенная Федеральным законом «О страховании вкладов физических лиц в банках Российской Федерации» от 23.12.200</w:t>
      </w:r>
      <w:r>
        <w:rPr>
          <w:sz w:val="20"/>
          <w:szCs w:val="20"/>
        </w:rPr>
        <w:t xml:space="preserve">3 № 177-ФЗ.</w:t>
      </w:r>
      <w:r>
        <w:rPr>
          <w:sz w:val="20"/>
          <w:szCs w:val="20"/>
        </w:rPr>
      </w:r>
    </w:p>
    <w:p>
      <w:pPr>
        <w:pStyle w:val="1383"/>
        <w:ind w:firstLine="709"/>
      </w:pPr>
      <w:r>
        <w:t xml:space="preserve">Данные об участии банка в Системе страхования вкладов могут быть проверены на официальных сайтах Государственной корпорации «Агентство по страхованию вкладов» по адресу </w:t>
      </w:r>
      <w:hyperlink r:id="rId1" w:tooltip="http://www.asv.org.ru/guide/bank/" w:history="1">
        <w:r>
          <w:rPr>
            <w:rStyle w:val="1402"/>
          </w:rPr>
          <w:t xml:space="preserve">http://www.asv.org.ru/guide/bank/</w:t>
        </w:r>
      </w:hyperlink>
      <w:r>
        <w:t xml:space="preserve"> или Банка России по адресу http://www.cbr.ru/credit/.</w:t>
      </w:r>
      <w:r/>
    </w:p>
  </w:footnote>
  <w:footnote w:id="8">
    <w:p>
      <w:pPr>
        <w:pStyle w:val="1383"/>
        <w:ind w:firstLine="567"/>
        <w:spacing w:after="0"/>
        <w:rPr>
          <w:sz w:val="18"/>
          <w:szCs w:val="18"/>
        </w:rPr>
      </w:pPr>
      <w:r>
        <w:rPr>
          <w:rStyle w:val="1382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В </w:t>
      </w:r>
      <w:r>
        <w:rPr>
          <w:sz w:val="18"/>
          <w:szCs w:val="18"/>
        </w:rPr>
        <w:t xml:space="preserve">случае</w:t>
      </w:r>
      <w:r>
        <w:rPr>
          <w:bCs/>
          <w:sz w:val="18"/>
          <w:szCs w:val="18"/>
        </w:rPr>
        <w:t xml:space="preserve"> если банк перестает удовлетворять критериям, указанным в данном пункте настоящих Требований, выданные банком гарантии подлежат замене в соответствии с условиями договора.</w:t>
      </w:r>
      <w:r>
        <w:rPr>
          <w:sz w:val="18"/>
          <w:szCs w:val="18"/>
        </w:rPr>
      </w:r>
    </w:p>
  </w:footnote>
  <w:footnote w:id="9">
    <w:p>
      <w:pPr>
        <w:ind w:firstLine="540"/>
        <w:spacing w:after="0"/>
        <w:rPr>
          <w:sz w:val="18"/>
          <w:szCs w:val="18"/>
        </w:rPr>
        <w:outlineLvl w:val="0"/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 xml:space="preserve">Данные о наличии банковской лицензии могут быть проверены на официальном сайте Бан</w:t>
      </w:r>
      <w:r>
        <w:rPr>
          <w:sz w:val="18"/>
          <w:szCs w:val="18"/>
        </w:rPr>
        <w:t xml:space="preserve">ка России по адресу http://www.cbr.ru/credit/.</w:t>
      </w:r>
      <w:r>
        <w:rPr>
          <w:sz w:val="18"/>
          <w:szCs w:val="18"/>
        </w:rPr>
      </w:r>
    </w:p>
  </w:footnote>
  <w:footnote w:id="10">
    <w:p>
      <w:pPr>
        <w:ind w:firstLine="540"/>
        <w:spacing w:after="0"/>
        <w:rPr>
          <w:sz w:val="18"/>
          <w:szCs w:val="18"/>
        </w:rPr>
        <w:outlineLvl w:val="0"/>
      </w:pPr>
      <w:r>
        <w:rPr>
          <w:rStyle w:val="1382"/>
          <w:sz w:val="18"/>
          <w:szCs w:val="18"/>
        </w:rPr>
        <w:footnoteRef/>
      </w:r>
      <w:r>
        <w:rPr>
          <w:rStyle w:val="1382"/>
          <w:sz w:val="18"/>
          <w:szCs w:val="18"/>
        </w:rPr>
        <w:t xml:space="preserve"> </w:t>
      </w:r>
      <w:r>
        <w:rPr>
          <w:sz w:val="18"/>
          <w:szCs w:val="18"/>
        </w:rPr>
        <w:t xml:space="preserve">В частности, запрет или ограничение на прием вкладов от физических лиц, если такая информация опубликована в официальных источниках и/или на официальном сайте Банка России по адресу https://www.cbr.ru/analytics/strform/.</w:t>
      </w:r>
      <w:r>
        <w:rPr>
          <w:sz w:val="18"/>
          <w:szCs w:val="18"/>
        </w:rPr>
      </w:r>
    </w:p>
  </w:footnote>
  <w:footnote w:id="11">
    <w:p>
      <w:pPr>
        <w:ind w:firstLine="540"/>
        <w:spacing w:after="0"/>
        <w:rPr>
          <w:sz w:val="18"/>
          <w:szCs w:val="18"/>
        </w:rPr>
        <w:outlineLvl w:val="0"/>
      </w:pPr>
      <w:r>
        <w:rPr>
          <w:rStyle w:val="1382"/>
          <w:sz w:val="18"/>
          <w:szCs w:val="18"/>
        </w:rPr>
        <w:footnoteRef/>
      </w:r>
      <w:r>
        <w:rPr>
          <w:sz w:val="18"/>
          <w:szCs w:val="18"/>
        </w:rPr>
        <w:t xml:space="preserve"> Система страхования вкладов - сис</w:t>
      </w:r>
      <w:r>
        <w:rPr>
          <w:sz w:val="18"/>
          <w:szCs w:val="18"/>
        </w:rPr>
        <w:t xml:space="preserve">тема обязательного страхования вкладов физических лиц в банках Российской Федерации, определенная Федеральным законом «О страховании вкладов физических лиц в банках Российской Федерации» от 23.12.2003 № 177-ФЗ.</w:t>
      </w:r>
      <w:r>
        <w:rPr>
          <w:sz w:val="18"/>
          <w:szCs w:val="18"/>
        </w:rPr>
      </w:r>
    </w:p>
    <w:p>
      <w:pPr>
        <w:ind w:firstLine="540"/>
        <w:spacing w:after="0"/>
        <w:rPr>
          <w:sz w:val="18"/>
          <w:szCs w:val="18"/>
        </w:rPr>
        <w:outlineLvl w:val="0"/>
      </w:pPr>
      <w:r>
        <w:rPr>
          <w:sz w:val="18"/>
          <w:szCs w:val="18"/>
        </w:rPr>
        <w:t xml:space="preserve">Данные об участии банка в Системе страхования</w:t>
      </w:r>
      <w:r>
        <w:rPr>
          <w:sz w:val="18"/>
          <w:szCs w:val="18"/>
        </w:rPr>
        <w:t xml:space="preserve"> вкладов могут быть проверены на официальных сайтах Государственной корпорации «Агентство по страхованию вкладов» по адресу </w:t>
      </w:r>
      <w:hyperlink r:id="rId2" w:tooltip="http://www.asv.org.ru/guide/bank/" w:history="1">
        <w:r>
          <w:rPr>
            <w:sz w:val="18"/>
            <w:szCs w:val="18"/>
          </w:rPr>
          <w:t xml:space="preserve">http://www.asv.org.ru/guide/bank/</w:t>
        </w:r>
      </w:hyperlink>
      <w:r>
        <w:rPr>
          <w:sz w:val="18"/>
          <w:szCs w:val="18"/>
        </w:rPr>
        <w:t xml:space="preserve"> или Банка</w:t>
      </w:r>
      <w:r>
        <w:rPr>
          <w:sz w:val="18"/>
          <w:szCs w:val="18"/>
        </w:rPr>
        <w:t xml:space="preserve"> России по адресу http://www.cbr.ru/credit/.</w:t>
      </w:r>
      <w:r>
        <w:rPr>
          <w:sz w:val="18"/>
          <w:szCs w:val="18"/>
        </w:rPr>
      </w:r>
    </w:p>
  </w:footnote>
  <w:footnote w:id="12">
    <w:p>
      <w:pPr>
        <w:ind w:firstLine="567"/>
        <w:spacing w:after="0"/>
        <w:tabs>
          <w:tab w:val="left" w:pos="1560" w:leader="none"/>
          <w:tab w:val="left" w:pos="1701" w:leader="none"/>
          <w:tab w:val="num" w:pos="2422" w:leader="none"/>
        </w:tabs>
      </w:pPr>
      <w:r>
        <w:rPr>
          <w:rStyle w:val="1382"/>
          <w:sz w:val="18"/>
          <w:szCs w:val="18"/>
        </w:rPr>
        <w:footnoteRef/>
      </w:r>
      <w:r>
        <w:rPr>
          <w:sz w:val="18"/>
          <w:szCs w:val="18"/>
        </w:rPr>
        <w:t xml:space="preserve"> На все банки-гаранты, находящиеся под прямым или косвенным контролем Российской Федерации либо Банка России и суммой активов свыше 500 млрд. руб., ограничения по сумме принимаемых независимых гарантий не устан</w:t>
      </w:r>
      <w:r>
        <w:rPr>
          <w:sz w:val="18"/>
          <w:szCs w:val="18"/>
        </w:rPr>
        <w:t xml:space="preserve">авливаются. Настоящий пункт не распространяется на банки-гаранты, акции (доли) которых перешли во владение Российской Федерации либо Банка России в ходе процедуры санации или финансового оздоровления.</w:t>
      </w:r>
      <w:r/>
    </w:p>
  </w:footnote>
  <w:footnote w:id="13">
    <w:p>
      <w:pPr>
        <w:ind w:firstLine="567"/>
        <w:spacing w:after="0"/>
        <w:tabs>
          <w:tab w:val="left" w:pos="1560" w:leader="none"/>
          <w:tab w:val="left" w:pos="1701" w:leader="none"/>
          <w:tab w:val="num" w:pos="2422" w:leader="none"/>
        </w:tabs>
        <w:rPr>
          <w:bCs/>
          <w:sz w:val="18"/>
          <w:szCs w:val="18"/>
        </w:rPr>
      </w:pPr>
      <w:r>
        <w:rPr>
          <w:rStyle w:val="1382"/>
          <w:sz w:val="18"/>
          <w:szCs w:val="18"/>
        </w:rPr>
        <w:footnoteRef/>
      </w:r>
      <w:r>
        <w:rPr>
          <w:sz w:val="18"/>
          <w:szCs w:val="18"/>
        </w:rPr>
        <w:t xml:space="preserve"> Для банков с долей Российской Федерации либо Банка Ро</w:t>
      </w:r>
      <w:r>
        <w:rPr>
          <w:sz w:val="18"/>
          <w:szCs w:val="18"/>
        </w:rPr>
        <w:t xml:space="preserve">ссии в уставном капитале более 50% (за исключением банков-гарантов, находящиеся под прямым или косвенным контролем Российской Федерации либо Банка России и суммой активов свыше 500 млрд. руб. (не распространяется на банки-гаранты, акции (доли) которых пере</w:t>
      </w:r>
      <w:r>
        <w:rPr>
          <w:sz w:val="18"/>
          <w:szCs w:val="18"/>
        </w:rPr>
        <w:t xml:space="preserve">шли во владение Российской Федерации либо Банка России в ходе процедуры санации или финансового оздоровления)), а также банков, в отношении которых Банком России принято решение о гарантировании непрерывности деятельности, ограничения по размеру собственно</w:t>
      </w:r>
      <w:r>
        <w:rPr>
          <w:sz w:val="18"/>
          <w:szCs w:val="18"/>
        </w:rPr>
        <w:t xml:space="preserve">го капитала банка и ограничения по вхождению в перечень банков, соответствующих требованиям ст. 2 Федерального закона от 21.07.2014 № 213-ФЗ - не применяются.</w:t>
      </w:r>
      <w:r>
        <w:rPr>
          <w:bCs/>
          <w:sz w:val="18"/>
          <w:szCs w:val="18"/>
        </w:rPr>
      </w:r>
    </w:p>
  </w:footnote>
  <w:footnote w:id="14">
    <w:p>
      <w:pPr>
        <w:pStyle w:val="1383"/>
        <w:ind w:firstLine="567"/>
        <w:spacing w:after="0"/>
        <w:rPr>
          <w:sz w:val="18"/>
          <w:szCs w:val="18"/>
        </w:rPr>
      </w:pPr>
      <w:r>
        <w:rPr>
          <w:rStyle w:val="1382"/>
          <w:sz w:val="18"/>
          <w:szCs w:val="18"/>
        </w:rPr>
        <w:footnoteRef/>
      </w:r>
      <w:r>
        <w:rPr>
          <w:sz w:val="18"/>
          <w:szCs w:val="18"/>
        </w:rPr>
        <w:t xml:space="preserve"> Включенными в реестр кредитных рейтинговых агентств Центрального банка России. Размещен на сайт</w:t>
      </w:r>
      <w:r>
        <w:rPr>
          <w:sz w:val="18"/>
          <w:szCs w:val="18"/>
        </w:rPr>
        <w:t xml:space="preserve">е ЦБ РФ. </w:t>
      </w:r>
      <w:r>
        <w:rPr>
          <w:rStyle w:val="1402"/>
          <w:sz w:val="18"/>
          <w:szCs w:val="18"/>
        </w:rPr>
        <w:t xml:space="preserve">https://cbr.ru.</w:t>
      </w:r>
      <w:r>
        <w:rPr>
          <w:sz w:val="18"/>
          <w:szCs w:val="18"/>
        </w:rPr>
      </w:r>
    </w:p>
  </w:footnote>
  <w:footnote w:id="15">
    <w:p>
      <w:pPr>
        <w:pStyle w:val="1383"/>
        <w:ind w:firstLine="567"/>
        <w:spacing w:after="0"/>
      </w:pPr>
      <w:r>
        <w:rPr>
          <w:rStyle w:val="1382"/>
          <w:sz w:val="18"/>
          <w:szCs w:val="18"/>
        </w:rPr>
        <w:footnoteRef/>
      </w:r>
      <w:r>
        <w:rPr>
          <w:sz w:val="18"/>
          <w:szCs w:val="18"/>
        </w:rPr>
        <w:t xml:space="preserve"> По состоянию на 15.12.2025 в реестр включены рейтинговые агентства АКРА (АО), АО «Эксперт РА», ООО «НКР» и ООО «НРА</w:t>
      </w:r>
      <w:r>
        <w:t xml:space="preserve">».</w:t>
      </w:r>
      <w:r/>
    </w:p>
  </w:footnote>
  <w:footnote w:id="16">
    <w:p>
      <w:pPr>
        <w:pStyle w:val="1383"/>
      </w:pPr>
      <w:r>
        <w:rPr>
          <w:rStyle w:val="1382"/>
        </w:rPr>
        <w:footnoteRef/>
      </w:r>
      <w:r>
        <w:t xml:space="preserve"> В случае поступления на этап оценки единственной заявки (вследствие подачи на закупку единственной заявки либ</w:t>
      </w:r>
      <w:r>
        <w:t xml:space="preserve">о отклонения всех поступивших заявок на этапе их рассмотрения, кроме одной, ввиду несоответствия требованиям документации) проведение оценки не осуществляется</w:t>
      </w:r>
      <w:r/>
    </w:p>
  </w:footnote>
  <w:footnote w:id="17">
    <w:p>
      <w:pPr>
        <w:pStyle w:val="1383"/>
      </w:pPr>
      <w:r>
        <w:rPr>
          <w:rStyle w:val="1382"/>
          <w:rFonts w:eastAsia="Arial"/>
        </w:rPr>
        <w:footnoteRef/>
      </w:r>
      <w:r>
        <w:t xml:space="preserve"> Указание вместо реквизитов лицензии Банка России реквизитов иных документов, подтверждающих нал</w:t>
      </w:r>
      <w:r>
        <w:t xml:space="preserve">ичие у организации права на выдачу независимых гарантий, допустимо только в тех случаях, когда Гарант не является кредитной организацией.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tabs>
        <w:tab w:val="center" w:pos="4677" w:leader="none"/>
        <w:tab w:val="right" w:pos="9355" w:leader="none"/>
      </w:tabs>
      <w:rPr>
        <w:sz w:val="20"/>
      </w:rPr>
    </w:pPr>
    <w:r>
      <w:rPr>
        <w:sz w:val="20"/>
      </w:rPr>
    </w:r>
    <w:r>
      <w:rPr>
        <w:sz w:val="2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429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Форма %1."/>
      <w:lvlJc w:val="left"/>
      <w:pPr>
        <w:ind w:left="6031" w:hanging="360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b/>
        <w:sz w:val="24"/>
        <w:szCs w:val="24"/>
      </w:rPr>
    </w:lvl>
    <w:lvl w:ilvl="2">
      <w:start w:val="1"/>
      <w:numFmt w:val="bullet"/>
      <w:isLgl w:val="false"/>
      <w:suff w:val="tab"/>
      <w:lvlText w:val=""/>
      <w:lvlJc w:val="left"/>
      <w:pPr>
        <w:ind w:left="284"/>
        <w:tabs>
          <w:tab w:val="num" w:pos="454" w:leader="none"/>
        </w:tabs>
      </w:pPr>
      <w:rPr>
        <w:rFonts w:hint="default" w:ascii="Symbol" w:hAnsi="Symbol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4">
    <w:multiLevelType w:val="hybridMultilevel"/>
    <w:styleLink w:val="1534"/>
    <w:lvl w:ilvl="0">
      <w:start w:val="1"/>
      <w:numFmt w:val="decimal"/>
      <w:pStyle w:val="1534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rFonts w:hint="default" w:ascii="Times New Roman" w:hAnsi="Times New Roman"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Форма %1."/>
      <w:lvlJc w:val="left"/>
      <w:pPr>
        <w:ind w:left="6031" w:hanging="360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multiLevelType w:val="hybridMultilevel"/>
    <w:styleLink w:val="1535"/>
    <w:lvl w:ilvl="0">
      <w:start w:val="1"/>
      <w:numFmt w:val="decimal"/>
      <w:pStyle w:val="1535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1">
      <w:start w:val="6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5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>
      <w:start w:val="1"/>
      <w:numFmt w:val="russianLower"/>
      <w:isLgl w:val="false"/>
      <w:suff w:val="tab"/>
      <w:lvlText w:val="%1)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5" w:hanging="180"/>
      </w:pPr>
    </w:lvl>
  </w:abstractNum>
  <w:abstractNum w:abstractNumId="15">
    <w:multiLevelType w:val="hybridMultilevel"/>
    <w:lvl w:ilvl="0">
      <w:start w:val="1"/>
      <w:numFmt w:val="decimal"/>
      <w:pStyle w:val="1358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decimal"/>
      <w:pStyle w:val="1343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</w:lvl>
    <w:lvl w:ilvl="2">
      <w:start w:val="1"/>
      <w:numFmt w:val="none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432" w:hanging="432"/>
        <w:tabs>
          <w:tab w:val="num" w:pos="432" w:leader="none"/>
        </w:tabs>
      </w:pPr>
      <w:rPr>
        <w:rFonts w:hint="default" w:ascii="Arial (WT)" w:hAnsi="Arial (WT)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720" w:hanging="360"/>
      </w:pPr>
      <w:rPr>
        <w:rFonts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540"/>
        <w:tabs>
          <w:tab w:val="num" w:pos="21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hint="default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440" w:hanging="360"/>
        <w:tabs>
          <w:tab w:val="num" w:pos="2160" w:leader="none"/>
        </w:tabs>
      </w:pPr>
      <w:rPr>
        <w:rFonts w:hint="default" w:ascii="Times New Roman" w:hAnsi="Times New Roman" w:cs="Times New Roman"/>
        <w:b/>
        <w:bCs/>
        <w:i w:val="0"/>
        <w:iCs w:val="0"/>
        <w:sz w:val="26"/>
        <w:szCs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1"/>
      <w:numFmt w:val="decimal"/>
      <w:pStyle w:val="1519"/>
      <w:isLgl w:val="false"/>
      <w:suff w:val="tab"/>
      <w:lvlText w:val="%1."/>
      <w:lvlJc w:val="center"/>
      <w:pPr>
        <w:ind w:left="0" w:firstLine="0"/>
        <w:tabs>
          <w:tab w:val="num" w:pos="2977" w:leader="none"/>
        </w:tabs>
      </w:pPr>
      <w:rPr>
        <w:rFonts w:cs="Times New Roman"/>
        <w:bCs w:val="0"/>
        <w:iCs w:val="0"/>
        <w: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1521"/>
      <w:isLgl w:val="false"/>
      <w:suff w:val="tab"/>
      <w:lvlText w:val="%1.%2"/>
      <w:lvlJc w:val="left"/>
      <w:pPr>
        <w:ind w:left="0" w:firstLine="567"/>
        <w:tabs>
          <w:tab w:val="num" w:pos="4680" w:leader="none"/>
        </w:tabs>
      </w:pPr>
      <w:rPr>
        <w:rFonts w:cs="Times New Roman"/>
        <w:bCs/>
        <w:iCs w:val="0"/>
        <w: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1520"/>
      <w:isLgl w:val="false"/>
      <w:suff w:val="tab"/>
      <w:lvlText w:val="%1.%2.%3"/>
      <w:lvlJc w:val="left"/>
      <w:pPr>
        <w:ind w:left="0" w:firstLine="567"/>
        <w:tabs>
          <w:tab w:val="num" w:pos="4399" w:leader="none"/>
        </w:tabs>
      </w:pPr>
      <w:rPr>
        <w:rFonts w:cs="Times New Roman"/>
        <w:b w:val="0"/>
        <w:bCs w:val="0"/>
        <w:i w:val="0"/>
        <w:iCs w:val="0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0" w:firstLine="567"/>
        <w:tabs>
          <w:tab w:val="num" w:pos="1985" w:leader="none"/>
        </w:tabs>
      </w:pPr>
      <w:rPr>
        <w:rFonts w:cs="Times New Roman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russianLower"/>
      <w:pStyle w:val="1522"/>
      <w:isLgl w:val="false"/>
      <w:suff w:val="tab"/>
      <w:lvlText w:val="%5)"/>
      <w:lvlJc w:val="left"/>
      <w:pPr>
        <w:ind w:left="0" w:firstLine="567"/>
        <w:tabs>
          <w:tab w:val="num" w:pos="1703" w:leader="none"/>
        </w:tabs>
      </w:pPr>
      <w:rPr>
        <w:rFonts w:cs="Times New Roman"/>
        <w:b w:val="0"/>
        <w:bCs w:val="0"/>
        <w:i w:val="0"/>
        <w:iCs w:val="0"/>
      </w:rPr>
    </w:lvl>
    <w:lvl w:ilvl="5">
      <w:start w:val="1"/>
      <w:numFmt w:val="lowerLetter"/>
      <w:isLgl w:val="false"/>
      <w:suff w:val="tab"/>
      <w:lvlText w:val="%6)"/>
      <w:lvlJc w:val="left"/>
      <w:pPr>
        <w:ind w:left="2551" w:hanging="567"/>
        <w:tabs>
          <w:tab w:val="num" w:pos="2551" w:leader="none"/>
        </w:tabs>
      </w:pPr>
      <w:rPr>
        <w:rFonts w:cs="Times New Roman"/>
      </w:rPr>
    </w:lvl>
    <w:lvl w:ilvl="6">
      <w:start w:val="1"/>
      <w:numFmt w:val="lowerRoman"/>
      <w:isLgl w:val="false"/>
      <w:suff w:val="tab"/>
      <w:lvlText w:val="%7)"/>
      <w:lvlJc w:val="left"/>
      <w:pPr>
        <w:ind w:left="2268" w:hanging="567"/>
        <w:tabs>
          <w:tab w:val="num" w:pos="226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1448" w:hanging="567"/>
        <w:tabs>
          <w:tab w:val="num" w:pos="144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6" w:hanging="1440"/>
        <w:tabs>
          <w:tab w:val="num" w:pos="4166" w:leader="none"/>
        </w:tabs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3">
    <w:multiLevelType w:val="hybridMultilevel"/>
    <w:styleLink w:val="1531"/>
    <w:lvl w:ilvl="0">
      <w:start w:val="2"/>
      <w:numFmt w:val="decimal"/>
      <w:pStyle w:val="1531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isLgl w:val="false"/>
      <w:suff w:val="tab"/>
      <w:lvlText w:val="%1.%2."/>
      <w:lvlJc w:val="left"/>
      <w:pPr>
        <w:ind w:left="1101" w:hanging="5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4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03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2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88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0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367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288" w:hanging="1800"/>
      </w:pPr>
      <w:rPr>
        <w:rFonts w:hint="default"/>
      </w:rPr>
    </w:lvl>
  </w:abstractNum>
  <w:abstractNum w:abstractNumId="2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432" w:hanging="432"/>
        <w:tabs>
          <w:tab w:val="num" w:pos="432" w:leader="none"/>
        </w:tabs>
      </w:pPr>
      <w:rPr>
        <w:rFonts w:hint="default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4"/>
        <w:tabs>
          <w:tab w:val="num" w:pos="45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25">
    <w:multiLevelType w:val="hybridMultilevel"/>
    <w:lvl w:ilvl="0">
      <w:start w:val="6"/>
      <w:numFmt w:val="decimal"/>
      <w:isLgl w:val="false"/>
      <w:suff w:val="tab"/>
      <w:lvlText w:val="Форма %1."/>
      <w:lvlJc w:val="left"/>
      <w:pPr>
        <w:ind w:left="6031" w:hanging="360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pStyle w:val="1449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pStyle w:val="1452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  <w:rPr>
        <w:rFonts w:hint="default"/>
      </w:rPr>
    </w:lvl>
    <w:lvl w:ilvl="2">
      <w:start w:val="1"/>
      <w:numFmt w:val="decimal"/>
      <w:pStyle w:val="1453"/>
      <w:isLgl w:val="false"/>
      <w:suff w:val="tab"/>
      <w:lvlText w:val="%1.%2.%3"/>
      <w:lvlJc w:val="left"/>
      <w:pPr>
        <w:ind w:left="1080"/>
        <w:tabs>
          <w:tab w:val="num" w:pos="130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28">
    <w:multiLevelType w:val="hybridMultilevel"/>
    <w:lvl w:ilvl="0">
      <w:start w:val="1"/>
      <w:numFmt w:val="russianLower"/>
      <w:pStyle w:val="1528"/>
      <w:isLgl w:val="false"/>
      <w:suff w:val="tab"/>
      <w:lvlText w:val="%1)"/>
      <w:lvlJc w:val="left"/>
      <w:pPr>
        <w:ind w:left="1152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7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9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1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3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5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7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9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12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080" w:hanging="360"/>
        <w:tabs>
          <w:tab w:val="num" w:pos="108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hint="default" w:ascii="Wingdings" w:hAnsi="Wingdings"/>
      </w:rPr>
    </w:lvl>
  </w:abstractNum>
  <w:abstractNum w:abstractNumId="31">
    <w:multiLevelType w:val="hybridMultilevel"/>
    <w:styleLink w:val="1525"/>
    <w:lvl w:ilvl="0">
      <w:start w:val="1"/>
      <w:numFmt w:val="decimal"/>
      <w:pStyle w:val="152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hint="default"/>
        <w:b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/>
        <w:tabs>
          <w:tab w:val="num" w:pos="170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290" w:hanging="864"/>
        <w:tabs>
          <w:tab w:val="num" w:pos="1290" w:leader="none"/>
        </w:tabs>
      </w:pPr>
      <w:rPr>
        <w:rFonts w:hint="default" w:ascii="Times New Roman" w:hAnsi="Times New Roman" w:cs="Times New Roman"/>
        <w:sz w:val="24"/>
        <w:szCs w:val="24"/>
      </w:rPr>
    </w:lvl>
    <w:lvl w:ilvl="4">
      <w:start w:val="1"/>
      <w:numFmt w:val="russianLower"/>
      <w:isLgl w:val="false"/>
      <w:suff w:val="tab"/>
      <w:lvlText w:val="%5)"/>
      <w:lvlJc w:val="left"/>
      <w:pPr>
        <w:ind w:left="928" w:hanging="360"/>
        <w:tabs>
          <w:tab w:val="num" w:pos="928" w:leader="none"/>
        </w:tabs>
      </w:pPr>
      <w:rPr>
        <w:rFonts w:hint="default" w:ascii="Times New Roman" w:hAnsi="Times New Roman" w:cs="Times New Roman"/>
        <w:b w:val="0"/>
        <w:i w:val="0"/>
        <w:sz w:val="24"/>
        <w:szCs w:val="24"/>
      </w:rPr>
    </w:lvl>
    <w:lvl w:ilvl="5">
      <w:start w:val="1"/>
      <w:numFmt w:val="decimal"/>
      <w:isLgl w:val="false"/>
      <w:suff w:val="tab"/>
      <w:lvlText w:val="%5.%6.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ascii="Times New Roman" w:hAnsi="Times New Roman" w:cs="Times New Roman"/>
        <w:b w:val="0"/>
        <w:i w:val="0"/>
        <w:strike w:val="0"/>
        <w:color w:val="auto"/>
        <w:sz w:val="20"/>
        <w:szCs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4">
    <w:multiLevelType w:val="hybridMultilevel"/>
    <w:lvl w:ilvl="0">
      <w:start w:val="7"/>
      <w:numFmt w:val="decimal"/>
      <w:isLgl w:val="false"/>
      <w:suff w:val="tab"/>
      <w:lvlText w:val="Форма %1."/>
      <w:lvlJc w:val="left"/>
      <w:pPr>
        <w:ind w:left="6031" w:hanging="360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russianLower"/>
      <w:isLgl w:val="false"/>
      <w:suff w:val="tab"/>
      <w:lvlText w:val="%1)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5" w:hanging="180"/>
      </w:pPr>
    </w:lvl>
  </w:abstractNum>
  <w:abstractNum w:abstractNumId="3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2494" w:hanging="705"/>
      </w:pPr>
      <w:rPr>
        <w:rFonts w:hint="default"/>
        <w:sz w:val="22"/>
        <w:szCs w:val="22"/>
      </w:rPr>
    </w:lvl>
    <w:lvl w:ilvl="2">
      <w:start w:val="1"/>
      <w:numFmt w:val="bullet"/>
      <w:isLgl w:val="false"/>
      <w:suff w:val="tab"/>
      <w:lvlText w:val="-"/>
      <w:lvlJc w:val="left"/>
      <w:pPr>
        <w:ind w:left="3049" w:hanging="360"/>
      </w:pPr>
      <w:rPr>
        <w:rFonts w:hint="default" w:ascii="Times New Roman" w:hAnsi="Times New Roman" w:eastAsia="Times New Roman"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73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88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4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19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208" w:hanging="1800"/>
      </w:pPr>
      <w:rPr>
        <w:rFonts w:hint="default"/>
      </w:rPr>
    </w:lvl>
  </w:abstractNum>
  <w:abstractNum w:abstractNumId="39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rFonts w:hint="default"/>
        <w:sz w:val="40"/>
        <w:szCs w:val="40"/>
      </w:rPr>
    </w:lvl>
    <w:lvl w:ilvl="1">
      <w:start w:val="1"/>
      <w:numFmt w:val="decimal"/>
      <w:pStyle w:val="1355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rFonts w:hint="default" w:ascii="Times New Roman" w:hAnsi="Times New Roman"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1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106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3" w:hanging="180"/>
      </w:p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4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­"/>
      <w:lvlJc w:val="left"/>
      <w:pPr>
        <w:ind w:left="1287" w:hanging="360"/>
      </w:pPr>
      <w:rPr>
        <w:rFonts w:hint="default" w:ascii="Arial (WT)" w:hAnsi="Arial (WT)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453" w:hanging="453"/>
        <w:tabs>
          <w:tab w:val="num" w:pos="453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901" w:hanging="360"/>
        <w:tabs>
          <w:tab w:val="num" w:pos="90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621" w:hanging="360"/>
        <w:tabs>
          <w:tab w:val="num" w:pos="162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341" w:hanging="360"/>
        <w:tabs>
          <w:tab w:val="num" w:pos="234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061" w:hanging="360"/>
        <w:tabs>
          <w:tab w:val="num" w:pos="3061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781" w:hanging="360"/>
        <w:tabs>
          <w:tab w:val="num" w:pos="378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501" w:hanging="360"/>
        <w:tabs>
          <w:tab w:val="num" w:pos="450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221" w:hanging="360"/>
        <w:tabs>
          <w:tab w:val="num" w:pos="5221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5941" w:hanging="360"/>
        <w:tabs>
          <w:tab w:val="num" w:pos="5941" w:leader="none"/>
        </w:tabs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96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540"/>
        <w:tabs>
          <w:tab w:val="num" w:pos="21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styleLink w:val="1538"/>
    <w:lvl w:ilvl="0">
      <w:start w:val="1"/>
      <w:numFmt w:val="bullet"/>
      <w:pStyle w:val="1538"/>
      <w:isLgl w:val="false"/>
      <w:suff w:val="tab"/>
      <w:lvlText w:val="-"/>
      <w:lvlJc w:val="left"/>
      <w:pPr>
        <w:ind w:left="371" w:firstLine="338"/>
        <w:tabs>
          <w:tab w:val="num" w:pos="1080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720" w:firstLine="338"/>
        <w:tabs>
          <w:tab w:val="left" w:pos="1080" w:leader="none"/>
          <w:tab w:val="num" w:pos="142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440" w:firstLine="338"/>
        <w:tabs>
          <w:tab w:val="left" w:pos="1080" w:leader="none"/>
          <w:tab w:val="num" w:pos="214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160" w:firstLine="338"/>
        <w:tabs>
          <w:tab w:val="left" w:pos="1080" w:leader="none"/>
          <w:tab w:val="num" w:pos="286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2880" w:firstLine="338"/>
        <w:tabs>
          <w:tab w:val="left" w:pos="1080" w:leader="none"/>
          <w:tab w:val="num" w:pos="358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3600" w:firstLine="338"/>
        <w:tabs>
          <w:tab w:val="left" w:pos="1080" w:leader="none"/>
          <w:tab w:val="num" w:pos="430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320" w:firstLine="338"/>
        <w:tabs>
          <w:tab w:val="left" w:pos="1080" w:leader="none"/>
          <w:tab w:val="num" w:pos="502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040" w:firstLine="338"/>
        <w:tabs>
          <w:tab w:val="left" w:pos="1080" w:leader="none"/>
          <w:tab w:val="num" w:pos="574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5760" w:firstLine="338"/>
        <w:tabs>
          <w:tab w:val="left" w:pos="1080" w:leader="none"/>
          <w:tab w:val="num" w:pos="6469" w:leader="none"/>
        </w:tabs>
      </w:pPr>
      <w:rPr>
        <w:rFonts w:ascii="Tahoma" w:hAnsi="Tahoma" w:eastAsia="Tahoma" w:cs="Tahom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49">
    <w:multiLevelType w:val="hybridMultilevel"/>
    <w:lvl w:ilvl="0">
      <w:start w:val="1"/>
      <w:numFmt w:val="decimal"/>
      <w:pStyle w:val="1357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1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43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15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87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9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31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03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5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473" w:hanging="360"/>
      </w:pPr>
      <w:rPr>
        <w:rFonts w:hint="default" w:ascii="Wingdings" w:hAnsi="Wingdings"/>
      </w:r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3">
    <w:multiLevelType w:val="hybridMultilevel"/>
    <w:styleLink w:val="1536"/>
    <w:lvl w:ilvl="0">
      <w:start w:val="1"/>
      <w:numFmt w:val="decimal"/>
      <w:pStyle w:val="1536"/>
      <w:isLgl w:val="false"/>
      <w:suff w:val="tab"/>
      <w:lvlText w:val="%1."/>
      <w:lvlJc w:val="left"/>
      <w:pPr>
        <w:ind w:left="1287" w:hanging="360"/>
        <w:tabs>
          <w:tab w:val="num" w:pos="128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6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2160" w:hanging="540"/>
        <w:tabs>
          <w:tab w:val="num" w:pos="21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3)."/>
      <w:lvlJc w:val="left"/>
      <w:pPr>
        <w:ind w:left="851" w:firstLine="0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705"/>
      </w:pPr>
      <w:rPr>
        <w:rFonts w:hint="default"/>
        <w:b/>
        <w:sz w:val="24"/>
      </w:rPr>
    </w:lvl>
    <w:lvl w:ilvl="1">
      <w:start w:val="1"/>
      <w:numFmt w:val="decimal"/>
      <w:isLgl/>
      <w:suff w:val="tab"/>
      <w:lvlText w:val="%1.%2.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 w:cs="Times New Roman"/>
        <w:b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 w:cs="Times New Roman"/>
        <w:b w:val="0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 w:cs="Times New Roman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277" w:hanging="567"/>
        <w:tabs>
          <w:tab w:val="num" w:pos="1277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 w:cs="Times New Roman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0" w:leader="none"/>
        </w:tabs>
      </w:pPr>
      <w:rPr>
        <w:rFonts w:hint="default"/>
        <w:b/>
        <w:bCs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1277" w:hanging="851"/>
        <w:tabs>
          <w:tab w:val="num" w:pos="1277" w:leader="none"/>
        </w:tabs>
      </w:pPr>
      <w:rPr>
        <w:rFonts w:hint="default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2">
      <w:start w:val="1"/>
      <w:numFmt w:val="decimal"/>
      <w:pStyle w:val="1484"/>
      <w:isLgl w:val="false"/>
      <w:suff w:val="tab"/>
      <w:lvlText w:val="%1.%2.%3"/>
      <w:lvlJc w:val="left"/>
      <w:pPr>
        <w:ind w:left="-283" w:firstLine="567"/>
        <w:tabs>
          <w:tab w:val="num" w:pos="1135" w:leader="none"/>
        </w:tabs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firstLine="567"/>
        <w:tabs>
          <w:tab w:val="num" w:pos="1418" w:leader="none"/>
        </w:tabs>
      </w:pPr>
      <w:rPr>
        <w:rFonts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4">
      <w:start w:val="1"/>
      <w:numFmt w:val="lowerLetter"/>
      <w:isLgl w:val="false"/>
      <w:suff w:val="tab"/>
      <w:lvlText w:val="%5)"/>
      <w:lvlJc w:val="left"/>
      <w:pPr>
        <w:ind w:firstLine="567"/>
        <w:tabs>
          <w:tab w:val="num" w:pos="1418" w:leader="none"/>
        </w:tabs>
      </w:pPr>
      <w:rPr>
        <w:rFonts w:hint="default"/>
        <w:b w:val="0"/>
        <w:bCs w:val="0"/>
        <w:i w:val="0"/>
        <w:iCs w:val="0"/>
      </w:rPr>
    </w:lvl>
    <w:lvl w:ilvl="5">
      <w:start w:val="1"/>
      <w:numFmt w:val="lowerRoman"/>
      <w:isLgl w:val="false"/>
      <w:suff w:val="tab"/>
      <w:lvlText w:val="%6)"/>
      <w:lvlJc w:val="left"/>
      <w:pPr>
        <w:ind w:left="1985" w:hanging="567"/>
        <w:tabs>
          <w:tab w:val="num" w:pos="198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5.%6.%7)"/>
      <w:lvlJc w:val="left"/>
      <w:pPr>
        <w:ind w:left="3119" w:hanging="851"/>
        <w:tabs>
          <w:tab w:val="num" w:pos="3119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5.%6.%7.%8)"/>
      <w:lvlJc w:val="left"/>
      <w:pPr>
        <w:ind w:left="3402" w:hanging="567"/>
        <w:tabs>
          <w:tab w:val="num" w:pos="3402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/>
      </w:rPr>
    </w:lvl>
    <w:lvl w:ilvl="1">
      <w:start w:val="1"/>
      <w:numFmt w:val="bullet"/>
      <w:isLgl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04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65">
    <w:multiLevelType w:val="hybridMultilevel"/>
    <w:lvl w:ilvl="0">
      <w:start w:val="5"/>
      <w:numFmt w:val="decimal"/>
      <w:isLgl w:val="false"/>
      <w:suff w:val="tab"/>
      <w:lvlText w:val="Форма %1."/>
      <w:lvlJc w:val="left"/>
      <w:pPr>
        <w:ind w:left="6031" w:hanging="360"/>
      </w:pPr>
      <w:rPr>
        <w:rFonts w:hint="default" w:ascii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32"/>
  </w:num>
  <w:num w:numId="2">
    <w:abstractNumId w:val="39"/>
  </w:num>
  <w:num w:numId="3">
    <w:abstractNumId w:val="49"/>
  </w:num>
  <w:num w:numId="4">
    <w:abstractNumId w:val="15"/>
  </w:num>
  <w:num w:numId="5">
    <w:abstractNumId w:val="27"/>
  </w:num>
  <w:num w:numId="6">
    <w:abstractNumId w:val="19"/>
  </w:num>
  <w:num w:numId="7">
    <w:abstractNumId w:val="60"/>
  </w:num>
  <w:num w:numId="8">
    <w:abstractNumId w:val="33"/>
  </w:num>
  <w:num w:numId="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2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</w:num>
  <w:num w:numId="13">
    <w:abstractNumId w:val="43"/>
  </w:num>
  <w:num w:numId="14">
    <w:abstractNumId w:val="36"/>
  </w:num>
  <w:num w:numId="15">
    <w:abstractNumId w:val="28"/>
  </w:num>
  <w:num w:numId="16">
    <w:abstractNumId w:val="24"/>
  </w:num>
  <w:num w:numId="17">
    <w:abstractNumId w:val="21"/>
  </w:num>
  <w:num w:numId="18">
    <w:abstractNumId w:val="67"/>
  </w:num>
  <w:num w:numId="19">
    <w:abstractNumId w:val="31"/>
  </w:num>
  <w:num w:numId="20">
    <w:abstractNumId w:val="58"/>
  </w:num>
  <w:num w:numId="21">
    <w:abstractNumId w:val="13"/>
  </w:num>
  <w:num w:numId="22">
    <w:abstractNumId w:val="45"/>
  </w:num>
  <w:num w:numId="23">
    <w:abstractNumId w:val="55"/>
  </w:num>
  <w:num w:numId="24">
    <w:abstractNumId w:val="5"/>
  </w:num>
  <w:num w:numId="25">
    <w:abstractNumId w:val="56"/>
  </w:num>
  <w:num w:numId="26">
    <w:abstractNumId w:val="4"/>
  </w:num>
  <w:num w:numId="27">
    <w:abstractNumId w:val="53"/>
  </w:num>
  <w:num w:numId="28">
    <w:abstractNumId w:val="12"/>
  </w:num>
  <w:num w:numId="29">
    <w:abstractNumId w:val="23"/>
  </w:num>
  <w:num w:numId="30">
    <w:abstractNumId w:val="63"/>
  </w:num>
  <w:num w:numId="31">
    <w:abstractNumId w:val="48"/>
  </w:num>
  <w:num w:numId="32">
    <w:abstractNumId w:val="3"/>
  </w:num>
  <w:num w:numId="33">
    <w:abstractNumId w:val="14"/>
  </w:num>
  <w:num w:numId="34">
    <w:abstractNumId w:val="35"/>
  </w:num>
  <w:num w:numId="35">
    <w:abstractNumId w:val="46"/>
  </w:num>
  <w:num w:numId="36">
    <w:abstractNumId w:val="26"/>
  </w:num>
  <w:num w:numId="37">
    <w:abstractNumId w:val="44"/>
  </w:num>
  <w:num w:numId="38">
    <w:abstractNumId w:val="29"/>
  </w:num>
  <w:num w:numId="39">
    <w:abstractNumId w:val="68"/>
  </w:num>
  <w:num w:numId="40">
    <w:abstractNumId w:val="16"/>
  </w:num>
  <w:num w:numId="41">
    <w:abstractNumId w:val="11"/>
  </w:num>
  <w:num w:numId="42">
    <w:abstractNumId w:val="42"/>
  </w:num>
  <w:num w:numId="43">
    <w:abstractNumId w:val="1"/>
  </w:num>
  <w:num w:numId="44">
    <w:abstractNumId w:val="61"/>
  </w:num>
  <w:num w:numId="45">
    <w:abstractNumId w:val="41"/>
  </w:num>
  <w:num w:numId="46">
    <w:abstractNumId w:val="54"/>
  </w:num>
  <w:num w:numId="4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8"/>
  </w:num>
  <w:num w:numId="49">
    <w:abstractNumId w:val="0"/>
  </w:num>
  <w:num w:numId="50">
    <w:abstractNumId w:val="6"/>
  </w:num>
  <w:num w:numId="51">
    <w:abstractNumId w:val="17"/>
  </w:num>
  <w:num w:numId="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8"/>
  </w:num>
  <w:num w:numId="56">
    <w:abstractNumId w:val="40"/>
  </w:num>
  <w:num w:numId="5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0"/>
  </w:num>
  <w:num w:numId="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5"/>
  </w:num>
  <w:num w:numId="61">
    <w:abstractNumId w:val="25"/>
  </w:num>
  <w:num w:numId="62">
    <w:abstractNumId w:val="34"/>
  </w:num>
  <w:num w:numId="63">
    <w:abstractNumId w:val="66"/>
  </w:num>
  <w:num w:numId="64">
    <w:abstractNumId w:val="22"/>
  </w:num>
  <w:num w:numId="65">
    <w:abstractNumId w:val="2"/>
  </w:num>
  <w:num w:numId="66">
    <w:abstractNumId w:val="9"/>
  </w:num>
  <w:num w:numId="67">
    <w:abstractNumId w:val="69"/>
  </w:num>
  <w:num w:numId="68">
    <w:abstractNumId w:val="62"/>
  </w:num>
  <w:num w:numId="69">
    <w:abstractNumId w:val="51"/>
  </w:num>
  <w:num w:numId="70">
    <w:abstractNumId w:val="37"/>
  </w:num>
  <w:num w:numId="71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13" w:default="1">
    <w:name w:val="Normal"/>
    <w:qFormat/>
    <w:pPr>
      <w:jc w:val="both"/>
      <w:spacing w:after="60"/>
    </w:pPr>
    <w:rPr>
      <w:sz w:val="24"/>
      <w:szCs w:val="24"/>
    </w:rPr>
  </w:style>
  <w:style w:type="paragraph" w:styleId="1114">
    <w:name w:val="Heading 1"/>
    <w:basedOn w:val="1113"/>
    <w:next w:val="1113"/>
    <w:link w:val="1333"/>
    <w:uiPriority w:val="9"/>
    <w:qFormat/>
    <w:pPr>
      <w:ind w:left="432" w:hanging="432"/>
      <w:jc w:val="center"/>
      <w:keepNext/>
      <w:spacing w:before="240"/>
      <w:tabs>
        <w:tab w:val="num" w:pos="432" w:leader="none"/>
      </w:tabs>
      <w:outlineLvl w:val="0"/>
    </w:pPr>
    <w:rPr>
      <w:b/>
      <w:bCs/>
      <w:sz w:val="36"/>
      <w:szCs w:val="36"/>
    </w:rPr>
  </w:style>
  <w:style w:type="paragraph" w:styleId="1115">
    <w:name w:val="Heading 2"/>
    <w:basedOn w:val="1113"/>
    <w:next w:val="1113"/>
    <w:link w:val="1334"/>
    <w:uiPriority w:val="9"/>
    <w:qFormat/>
    <w:pPr>
      <w:ind w:left="576" w:hanging="576"/>
      <w:jc w:val="center"/>
      <w:keepNext/>
      <w:tabs>
        <w:tab w:val="num" w:pos="576" w:leader="none"/>
      </w:tabs>
      <w:outlineLvl w:val="1"/>
    </w:pPr>
    <w:rPr>
      <w:b/>
      <w:bCs/>
      <w:sz w:val="30"/>
      <w:szCs w:val="30"/>
    </w:rPr>
  </w:style>
  <w:style w:type="paragraph" w:styleId="1116">
    <w:name w:val="Heading 3"/>
    <w:basedOn w:val="1113"/>
    <w:next w:val="1113"/>
    <w:link w:val="1335"/>
    <w:uiPriority w:val="9"/>
    <w:qFormat/>
    <w:pPr>
      <w:ind w:left="142"/>
      <w:keepNext/>
      <w:spacing w:before="240"/>
      <w:tabs>
        <w:tab w:val="num" w:pos="312" w:leader="none"/>
      </w:tabs>
      <w:outlineLvl w:val="2"/>
    </w:pPr>
    <w:rPr>
      <w:rFonts w:ascii="Arial" w:hAnsi="Arial" w:cs="Arial"/>
      <w:b/>
      <w:bCs/>
    </w:rPr>
  </w:style>
  <w:style w:type="paragraph" w:styleId="1117">
    <w:name w:val="Heading 4"/>
    <w:basedOn w:val="1113"/>
    <w:next w:val="1113"/>
    <w:link w:val="1336"/>
    <w:uiPriority w:val="9"/>
    <w:qFormat/>
    <w:pPr>
      <w:ind w:left="1148" w:hanging="864"/>
      <w:keepNext/>
      <w:spacing w:before="240"/>
      <w:tabs>
        <w:tab w:val="num" w:pos="1148" w:leader="none"/>
      </w:tabs>
      <w:outlineLvl w:val="3"/>
    </w:pPr>
    <w:rPr>
      <w:rFonts w:ascii="Arial" w:hAnsi="Arial" w:cs="Arial"/>
    </w:rPr>
  </w:style>
  <w:style w:type="paragraph" w:styleId="1118">
    <w:name w:val="Heading 5"/>
    <w:basedOn w:val="1113"/>
    <w:next w:val="1113"/>
    <w:link w:val="1337"/>
    <w:uiPriority w:val="9"/>
    <w:qFormat/>
    <w:pPr>
      <w:spacing w:before="24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1119">
    <w:name w:val="Heading 6"/>
    <w:basedOn w:val="1113"/>
    <w:next w:val="1113"/>
    <w:link w:val="1338"/>
    <w:uiPriority w:val="9"/>
    <w:qFormat/>
    <w:pPr>
      <w:ind w:left="1152" w:hanging="1152"/>
      <w:spacing w:before="240"/>
      <w:tabs>
        <w:tab w:val="num" w:pos="1152" w:leader="none"/>
      </w:tabs>
      <w:outlineLvl w:val="5"/>
    </w:pPr>
    <w:rPr>
      <w:i/>
      <w:iCs/>
      <w:sz w:val="20"/>
      <w:szCs w:val="20"/>
    </w:rPr>
  </w:style>
  <w:style w:type="paragraph" w:styleId="1120">
    <w:name w:val="Heading 7"/>
    <w:basedOn w:val="1113"/>
    <w:next w:val="1113"/>
    <w:link w:val="1339"/>
    <w:uiPriority w:val="9"/>
    <w:qFormat/>
    <w:pPr>
      <w:ind w:left="1296" w:hanging="1296"/>
      <w:spacing w:before="240"/>
      <w:tabs>
        <w:tab w:val="num" w:pos="1296" w:leader="none"/>
      </w:tabs>
      <w:outlineLvl w:val="6"/>
    </w:pPr>
    <w:rPr>
      <w:rFonts w:ascii="Arial" w:hAnsi="Arial" w:cs="Arial"/>
      <w:sz w:val="20"/>
      <w:szCs w:val="20"/>
    </w:rPr>
  </w:style>
  <w:style w:type="paragraph" w:styleId="1121">
    <w:name w:val="Heading 8"/>
    <w:basedOn w:val="1113"/>
    <w:next w:val="1113"/>
    <w:link w:val="1340"/>
    <w:uiPriority w:val="9"/>
    <w:qFormat/>
    <w:pPr>
      <w:ind w:left="1440" w:hanging="1440"/>
      <w:spacing w:before="240"/>
      <w:tabs>
        <w:tab w:val="num" w:pos="1440" w:leader="none"/>
      </w:tabs>
      <w:outlineLvl w:val="7"/>
    </w:pPr>
    <w:rPr>
      <w:rFonts w:ascii="Arial" w:hAnsi="Arial" w:cs="Arial"/>
      <w:i/>
      <w:iCs/>
      <w:sz w:val="20"/>
      <w:szCs w:val="20"/>
    </w:rPr>
  </w:style>
  <w:style w:type="paragraph" w:styleId="1122">
    <w:name w:val="Heading 9"/>
    <w:basedOn w:val="1113"/>
    <w:next w:val="1113"/>
    <w:link w:val="1341"/>
    <w:uiPriority w:val="9"/>
    <w:qFormat/>
    <w:pPr>
      <w:ind w:left="1584" w:hanging="1584"/>
      <w:spacing w:before="240"/>
      <w:tabs>
        <w:tab w:val="num" w:pos="1584" w:leader="none"/>
      </w:tabs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styleId="1123" w:default="1">
    <w:name w:val="Default Paragraph Font"/>
    <w:uiPriority w:val="1"/>
    <w:semiHidden/>
    <w:unhideWhenUsed/>
  </w:style>
  <w:style w:type="table" w:styleId="11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25" w:default="1">
    <w:name w:val="No List"/>
    <w:uiPriority w:val="99"/>
    <w:semiHidden/>
    <w:unhideWhenUsed/>
  </w:style>
  <w:style w:type="table" w:styleId="1126">
    <w:name w:val="Plain Table 1"/>
    <w:basedOn w:val="11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27">
    <w:name w:val="Plain Table 2"/>
    <w:basedOn w:val="112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28">
    <w:name w:val="Plain Table 3"/>
    <w:basedOn w:val="112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29">
    <w:name w:val="Plain Table 4"/>
    <w:basedOn w:val="112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0">
    <w:name w:val="Plain Table 5"/>
    <w:basedOn w:val="112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31">
    <w:name w:val="Grid Table 1 Light"/>
    <w:basedOn w:val="112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32">
    <w:name w:val="Grid Table 2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3">
    <w:name w:val="Grid Table 3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4">
    <w:name w:val="Grid Table 4"/>
    <w:basedOn w:val="112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35">
    <w:name w:val="Grid Table 5 Dark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136">
    <w:name w:val="Grid Table 6 Colorful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37">
    <w:name w:val="Grid Table 7 Colorful"/>
    <w:basedOn w:val="112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8">
    <w:name w:val="List Table 1 Light"/>
    <w:basedOn w:val="112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9">
    <w:name w:val="List Table 2"/>
    <w:basedOn w:val="112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40">
    <w:name w:val="List Table 3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1">
    <w:name w:val="List Table 4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2">
    <w:name w:val="List Table 5 Dark"/>
    <w:basedOn w:val="112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143">
    <w:name w:val="List Table 6 Colorful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44">
    <w:name w:val="List Table 7 Colorful"/>
    <w:basedOn w:val="112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5" w:customStyle="1">
    <w:name w:val="Таблица простая 11"/>
    <w:basedOn w:val="11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46" w:customStyle="1">
    <w:name w:val="Таблица простая 21"/>
    <w:basedOn w:val="112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47" w:customStyle="1">
    <w:name w:val="Таблица простая 31"/>
    <w:basedOn w:val="11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48" w:customStyle="1">
    <w:name w:val="Таблица простая 41"/>
    <w:basedOn w:val="11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49" w:customStyle="1">
    <w:name w:val="Таблица простая 51"/>
    <w:basedOn w:val="11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50" w:customStyle="1">
    <w:name w:val="Таблица-сетка 1 светлая1"/>
    <w:basedOn w:val="112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51" w:customStyle="1">
    <w:name w:val="Таблица-сетка 21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2" w:customStyle="1">
    <w:name w:val="Таблица-сетка 31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3" w:customStyle="1">
    <w:name w:val="Таблица-сетка 41"/>
    <w:basedOn w:val="112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54" w:customStyle="1">
    <w:name w:val="Таблица-сетка 5 темная1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155" w:customStyle="1">
    <w:name w:val="Таблица-сетка 6 цвет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56" w:customStyle="1">
    <w:name w:val="Таблица-сетка 7 цветная1"/>
    <w:basedOn w:val="112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7" w:customStyle="1">
    <w:name w:val="Список-таблица 1 светлая1"/>
    <w:basedOn w:val="112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58" w:customStyle="1">
    <w:name w:val="Список-таблица 21"/>
    <w:basedOn w:val="112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59" w:customStyle="1">
    <w:name w:val="Список-таблица 31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0" w:customStyle="1">
    <w:name w:val="Список-таблица 41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1" w:customStyle="1">
    <w:name w:val="Список-таблица 5 тем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62" w:customStyle="1">
    <w:name w:val="Список-таблица 6 цвет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63" w:customStyle="1">
    <w:name w:val="Список-таблица 7 цветная1"/>
    <w:basedOn w:val="112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64" w:customStyle="1">
    <w:name w:val="Таблица простая 11"/>
    <w:basedOn w:val="11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65" w:customStyle="1">
    <w:name w:val="Таблица простая 21"/>
    <w:basedOn w:val="112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166" w:customStyle="1">
    <w:name w:val="Таблица простая 31"/>
    <w:basedOn w:val="112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67" w:customStyle="1">
    <w:name w:val="Таблица простая 41"/>
    <w:basedOn w:val="112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8" w:customStyle="1">
    <w:name w:val="Таблица простая 51"/>
    <w:basedOn w:val="1124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69" w:customStyle="1">
    <w:name w:val="Таблица-сетка 1 светлая1"/>
    <w:basedOn w:val="112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0" w:customStyle="1">
    <w:name w:val="Таблица-сетка 21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1" w:customStyle="1">
    <w:name w:val="Таблица-сетка 31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2" w:customStyle="1">
    <w:name w:val="Таблица-сетка 41"/>
    <w:basedOn w:val="112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73" w:customStyle="1">
    <w:name w:val="Таблица-сетка 5 темная1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174" w:customStyle="1">
    <w:name w:val="Таблица-сетка 6 цвет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175" w:customStyle="1">
    <w:name w:val="Таблица-сетка 7 цветная1"/>
    <w:basedOn w:val="112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76" w:customStyle="1">
    <w:name w:val="Список-таблица 1 светлая1"/>
    <w:basedOn w:val="112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7" w:customStyle="1">
    <w:name w:val="Список-таблица 21"/>
    <w:basedOn w:val="112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78" w:customStyle="1">
    <w:name w:val="Список-таблица 31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9" w:customStyle="1">
    <w:name w:val="Список-таблица 41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0" w:customStyle="1">
    <w:name w:val="Список-таблица 5 тем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1181" w:customStyle="1">
    <w:name w:val="Список-таблица 6 цвет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82" w:customStyle="1">
    <w:name w:val="Список-таблица 7 цветная1"/>
    <w:basedOn w:val="112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character" w:styleId="1183" w:customStyle="1">
    <w:name w:val="Quote Char"/>
    <w:uiPriority w:val="29"/>
    <w:rPr>
      <w:i/>
    </w:rPr>
  </w:style>
  <w:style w:type="character" w:styleId="1184" w:customStyle="1">
    <w:name w:val="Intense Quote Char"/>
    <w:uiPriority w:val="30"/>
    <w:rPr>
      <w:i/>
    </w:rPr>
  </w:style>
  <w:style w:type="character" w:styleId="1185" w:customStyle="1">
    <w:name w:val="Caption Char"/>
    <w:basedOn w:val="1123"/>
    <w:uiPriority w:val="35"/>
    <w:rPr>
      <w:b/>
      <w:bCs/>
      <w:color w:val="4f81bd" w:themeColor="accent1"/>
      <w:sz w:val="18"/>
      <w:szCs w:val="18"/>
    </w:rPr>
  </w:style>
  <w:style w:type="character" w:styleId="1186" w:customStyle="1">
    <w:name w:val="Heading 1 Char"/>
    <w:basedOn w:val="1123"/>
    <w:uiPriority w:val="9"/>
    <w:rPr>
      <w:rFonts w:ascii="Arial" w:hAnsi="Arial" w:eastAsia="Arial" w:cs="Arial"/>
      <w:sz w:val="40"/>
      <w:szCs w:val="40"/>
    </w:rPr>
  </w:style>
  <w:style w:type="character" w:styleId="1187" w:customStyle="1">
    <w:name w:val="Heading 2 Char"/>
    <w:basedOn w:val="1123"/>
    <w:uiPriority w:val="9"/>
    <w:rPr>
      <w:rFonts w:ascii="Arial" w:hAnsi="Arial" w:eastAsia="Arial" w:cs="Arial"/>
      <w:sz w:val="34"/>
    </w:rPr>
  </w:style>
  <w:style w:type="character" w:styleId="1188" w:customStyle="1">
    <w:name w:val="Heading 3 Char"/>
    <w:basedOn w:val="1123"/>
    <w:uiPriority w:val="9"/>
    <w:rPr>
      <w:rFonts w:ascii="Arial" w:hAnsi="Arial" w:eastAsia="Arial" w:cs="Arial"/>
      <w:sz w:val="30"/>
      <w:szCs w:val="30"/>
    </w:rPr>
  </w:style>
  <w:style w:type="character" w:styleId="1189" w:customStyle="1">
    <w:name w:val="Heading 4 Char"/>
    <w:basedOn w:val="1123"/>
    <w:uiPriority w:val="9"/>
    <w:rPr>
      <w:rFonts w:ascii="Arial" w:hAnsi="Arial" w:eastAsia="Arial" w:cs="Arial"/>
      <w:b/>
      <w:bCs/>
      <w:sz w:val="26"/>
      <w:szCs w:val="26"/>
    </w:rPr>
  </w:style>
  <w:style w:type="character" w:styleId="1190" w:customStyle="1">
    <w:name w:val="Heading 5 Char"/>
    <w:basedOn w:val="1123"/>
    <w:uiPriority w:val="9"/>
    <w:rPr>
      <w:rFonts w:ascii="Arial" w:hAnsi="Arial" w:eastAsia="Arial" w:cs="Arial"/>
      <w:b/>
      <w:bCs/>
      <w:sz w:val="24"/>
      <w:szCs w:val="24"/>
    </w:rPr>
  </w:style>
  <w:style w:type="character" w:styleId="1191" w:customStyle="1">
    <w:name w:val="Heading 6 Char"/>
    <w:basedOn w:val="1123"/>
    <w:uiPriority w:val="9"/>
    <w:rPr>
      <w:rFonts w:ascii="Arial" w:hAnsi="Arial" w:eastAsia="Arial" w:cs="Arial"/>
      <w:b/>
      <w:bCs/>
      <w:sz w:val="22"/>
      <w:szCs w:val="22"/>
    </w:rPr>
  </w:style>
  <w:style w:type="character" w:styleId="1192" w:customStyle="1">
    <w:name w:val="Heading 7 Char"/>
    <w:basedOn w:val="11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193" w:customStyle="1">
    <w:name w:val="Heading 8 Char"/>
    <w:basedOn w:val="1123"/>
    <w:uiPriority w:val="9"/>
    <w:rPr>
      <w:rFonts w:ascii="Arial" w:hAnsi="Arial" w:eastAsia="Arial" w:cs="Arial"/>
      <w:i/>
      <w:iCs/>
      <w:sz w:val="22"/>
      <w:szCs w:val="22"/>
    </w:rPr>
  </w:style>
  <w:style w:type="character" w:styleId="1194" w:customStyle="1">
    <w:name w:val="Heading 9 Char"/>
    <w:basedOn w:val="1123"/>
    <w:uiPriority w:val="9"/>
    <w:rPr>
      <w:rFonts w:ascii="Arial" w:hAnsi="Arial" w:eastAsia="Arial" w:cs="Arial"/>
      <w:i/>
      <w:iCs/>
      <w:sz w:val="21"/>
      <w:szCs w:val="21"/>
    </w:rPr>
  </w:style>
  <w:style w:type="character" w:styleId="1195" w:customStyle="1">
    <w:name w:val="Title Char"/>
    <w:basedOn w:val="1123"/>
    <w:uiPriority w:val="10"/>
    <w:rPr>
      <w:sz w:val="48"/>
      <w:szCs w:val="48"/>
    </w:rPr>
  </w:style>
  <w:style w:type="character" w:styleId="1196" w:customStyle="1">
    <w:name w:val="Subtitle Char"/>
    <w:basedOn w:val="1123"/>
    <w:uiPriority w:val="11"/>
    <w:rPr>
      <w:sz w:val="24"/>
      <w:szCs w:val="24"/>
    </w:rPr>
  </w:style>
  <w:style w:type="paragraph" w:styleId="1197">
    <w:name w:val="Quote"/>
    <w:basedOn w:val="1113"/>
    <w:next w:val="1113"/>
    <w:link w:val="1198"/>
    <w:uiPriority w:val="29"/>
    <w:qFormat/>
    <w:pPr>
      <w:ind w:left="720" w:right="720"/>
    </w:pPr>
    <w:rPr>
      <w:i/>
    </w:rPr>
  </w:style>
  <w:style w:type="character" w:styleId="1198" w:customStyle="1">
    <w:name w:val="Цитата 2 Знак"/>
    <w:link w:val="1197"/>
    <w:uiPriority w:val="29"/>
    <w:rPr>
      <w:i/>
    </w:rPr>
  </w:style>
  <w:style w:type="paragraph" w:styleId="1199">
    <w:name w:val="Intense Quote"/>
    <w:basedOn w:val="1113"/>
    <w:next w:val="1113"/>
    <w:link w:val="12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200" w:customStyle="1">
    <w:name w:val="Выделенная цитата Знак"/>
    <w:link w:val="1199"/>
    <w:uiPriority w:val="30"/>
    <w:rPr>
      <w:i/>
    </w:rPr>
  </w:style>
  <w:style w:type="character" w:styleId="1201" w:customStyle="1">
    <w:name w:val="Header Char"/>
    <w:basedOn w:val="1123"/>
    <w:uiPriority w:val="99"/>
  </w:style>
  <w:style w:type="character" w:styleId="1202" w:customStyle="1">
    <w:name w:val="Footer Char"/>
    <w:basedOn w:val="1123"/>
    <w:uiPriority w:val="99"/>
  </w:style>
  <w:style w:type="character" w:styleId="1203" w:customStyle="1">
    <w:name w:val="Название объекта Знак"/>
    <w:basedOn w:val="1123"/>
    <w:link w:val="1523"/>
    <w:uiPriority w:val="35"/>
    <w:rPr>
      <w:b/>
      <w:bCs/>
      <w:color w:val="4f81bd" w:themeColor="accent1"/>
      <w:sz w:val="18"/>
      <w:szCs w:val="18"/>
    </w:rPr>
  </w:style>
  <w:style w:type="table" w:styleId="1204" w:customStyle="1">
    <w:name w:val="Table Grid Light"/>
    <w:basedOn w:val="11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05" w:customStyle="1">
    <w:name w:val="Таблица простая 11"/>
    <w:basedOn w:val="112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206" w:customStyle="1">
    <w:name w:val="Таблица простая 21"/>
    <w:basedOn w:val="112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207" w:customStyle="1">
    <w:name w:val="Таблица простая 31"/>
    <w:basedOn w:val="11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208" w:customStyle="1">
    <w:name w:val="Таблица простая 41"/>
    <w:basedOn w:val="11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9" w:customStyle="1">
    <w:name w:val="Таблица простая 51"/>
    <w:basedOn w:val="112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210" w:customStyle="1">
    <w:name w:val="Таблица-сетка 1 светлая1"/>
    <w:basedOn w:val="112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1" w:customStyle="1">
    <w:name w:val="Grid Table 1 Light - Accent 1"/>
    <w:basedOn w:val="112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2" w:customStyle="1">
    <w:name w:val="Grid Table 1 Light - Accent 2"/>
    <w:basedOn w:val="112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3" w:customStyle="1">
    <w:name w:val="Grid Table 1 Light - Accent 3"/>
    <w:basedOn w:val="112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4" w:customStyle="1">
    <w:name w:val="Grid Table 1 Light - Accent 4"/>
    <w:basedOn w:val="112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5" w:customStyle="1">
    <w:name w:val="Grid Table 1 Light - Accent 5"/>
    <w:basedOn w:val="112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6" w:customStyle="1">
    <w:name w:val="Grid Table 1 Light - Accent 6"/>
    <w:basedOn w:val="112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7" w:customStyle="1">
    <w:name w:val="Таблица-сетка 21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8" w:customStyle="1">
    <w:name w:val="Grid Table 2 - Accent 1"/>
    <w:basedOn w:val="112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9" w:customStyle="1">
    <w:name w:val="Grid Table 2 - Accent 2"/>
    <w:basedOn w:val="112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0" w:customStyle="1">
    <w:name w:val="Grid Table 2 - Accent 3"/>
    <w:basedOn w:val="112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1" w:customStyle="1">
    <w:name w:val="Grid Table 2 - Accent 4"/>
    <w:basedOn w:val="112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 w:customStyle="1">
    <w:name w:val="Grid Table 2 - Accent 5"/>
    <w:basedOn w:val="112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 w:customStyle="1">
    <w:name w:val="Grid Table 2 - Accent 6"/>
    <w:basedOn w:val="112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 w:customStyle="1">
    <w:name w:val="Таблица-сетка 31"/>
    <w:basedOn w:val="112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5" w:customStyle="1">
    <w:name w:val="Grid Table 3 - Accent 1"/>
    <w:basedOn w:val="112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6" w:customStyle="1">
    <w:name w:val="Grid Table 3 - Accent 2"/>
    <w:basedOn w:val="112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7" w:customStyle="1">
    <w:name w:val="Grid Table 3 - Accent 3"/>
    <w:basedOn w:val="112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8" w:customStyle="1">
    <w:name w:val="Grid Table 3 - Accent 4"/>
    <w:basedOn w:val="112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9" w:customStyle="1">
    <w:name w:val="Grid Table 3 - Accent 5"/>
    <w:basedOn w:val="112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0" w:customStyle="1">
    <w:name w:val="Grid Table 3 - Accent 6"/>
    <w:basedOn w:val="112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31" w:customStyle="1">
    <w:name w:val="Таблица-сетка 41"/>
    <w:basedOn w:val="112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232" w:customStyle="1">
    <w:name w:val="Grid Table 4 - Accent 1"/>
    <w:basedOn w:val="112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233" w:customStyle="1">
    <w:name w:val="Grid Table 4 - Accent 2"/>
    <w:basedOn w:val="112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234" w:customStyle="1">
    <w:name w:val="Grid Table 4 - Accent 3"/>
    <w:basedOn w:val="112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235" w:customStyle="1">
    <w:name w:val="Grid Table 4 - Accent 4"/>
    <w:basedOn w:val="112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236" w:customStyle="1">
    <w:name w:val="Grid Table 4 - Accent 5"/>
    <w:basedOn w:val="112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237" w:customStyle="1">
    <w:name w:val="Grid Table 4 - Accent 6"/>
    <w:basedOn w:val="112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238" w:customStyle="1">
    <w:name w:val="Таблица-сетка 5 темная1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239" w:customStyle="1">
    <w:name w:val="Grid Table 5 Dark- Accent 1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240" w:customStyle="1">
    <w:name w:val="Grid Table 5 Dark - Accent 2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241" w:customStyle="1">
    <w:name w:val="Grid Table 5 Dark - Accent 3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242" w:customStyle="1">
    <w:name w:val="Grid Table 5 Dark- Accent 4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243" w:customStyle="1">
    <w:name w:val="Grid Table 5 Dark - Accent 5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244" w:customStyle="1">
    <w:name w:val="Grid Table 5 Dark - Accent 6"/>
    <w:basedOn w:val="112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245" w:customStyle="1">
    <w:name w:val="Таблица-сетка 6 цвет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246" w:customStyle="1">
    <w:name w:val="Grid Table 6 Colorful - Accent 1"/>
    <w:basedOn w:val="112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247" w:customStyle="1">
    <w:name w:val="Grid Table 6 Colorful - Accent 2"/>
    <w:basedOn w:val="112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248" w:customStyle="1">
    <w:name w:val="Grid Table 6 Colorful - Accent 3"/>
    <w:basedOn w:val="112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249" w:customStyle="1">
    <w:name w:val="Grid Table 6 Colorful - Accent 4"/>
    <w:basedOn w:val="112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250" w:customStyle="1">
    <w:name w:val="Grid Table 6 Colorful - Accent 5"/>
    <w:basedOn w:val="112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51" w:customStyle="1">
    <w:name w:val="Grid Table 6 Colorful - Accent 6"/>
    <w:basedOn w:val="112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252" w:customStyle="1">
    <w:name w:val="Таблица-сетка 7 цветная1"/>
    <w:basedOn w:val="112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3" w:customStyle="1">
    <w:name w:val="Grid Table 7 Colorful - Accent 1"/>
    <w:basedOn w:val="112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4" w:customStyle="1">
    <w:name w:val="Grid Table 7 Colorful - Accent 2"/>
    <w:basedOn w:val="112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5" w:customStyle="1">
    <w:name w:val="Grid Table 7 Colorful - Accent 3"/>
    <w:basedOn w:val="112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6" w:customStyle="1">
    <w:name w:val="Grid Table 7 Colorful - Accent 4"/>
    <w:basedOn w:val="112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7" w:customStyle="1">
    <w:name w:val="Grid Table 7 Colorful - Accent 5"/>
    <w:basedOn w:val="112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8" w:customStyle="1">
    <w:name w:val="Grid Table 7 Colorful - Accent 6"/>
    <w:basedOn w:val="112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259" w:customStyle="1">
    <w:name w:val="Список-таблица 1 светлая1"/>
    <w:basedOn w:val="112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0" w:customStyle="1">
    <w:name w:val="List Table 1 Light - Accent 1"/>
    <w:basedOn w:val="112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1" w:customStyle="1">
    <w:name w:val="List Table 1 Light - Accent 2"/>
    <w:basedOn w:val="112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2" w:customStyle="1">
    <w:name w:val="List Table 1 Light - Accent 3"/>
    <w:basedOn w:val="112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3" w:customStyle="1">
    <w:name w:val="List Table 1 Light - Accent 4"/>
    <w:basedOn w:val="112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4" w:customStyle="1">
    <w:name w:val="List Table 1 Light - Accent 5"/>
    <w:basedOn w:val="112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5" w:customStyle="1">
    <w:name w:val="List Table 1 Light - Accent 6"/>
    <w:basedOn w:val="112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66" w:customStyle="1">
    <w:name w:val="Список-таблица 21"/>
    <w:basedOn w:val="112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267" w:customStyle="1">
    <w:name w:val="List Table 2 - Accent 1"/>
    <w:basedOn w:val="112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268" w:customStyle="1">
    <w:name w:val="List Table 2 - Accent 2"/>
    <w:basedOn w:val="112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269" w:customStyle="1">
    <w:name w:val="List Table 2 - Accent 3"/>
    <w:basedOn w:val="112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270" w:customStyle="1">
    <w:name w:val="List Table 2 - Accent 4"/>
    <w:basedOn w:val="112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271" w:customStyle="1">
    <w:name w:val="List Table 2 - Accent 5"/>
    <w:basedOn w:val="112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272" w:customStyle="1">
    <w:name w:val="List Table 2 - Accent 6"/>
    <w:basedOn w:val="112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273" w:customStyle="1">
    <w:name w:val="Список-таблица 31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4" w:customStyle="1">
    <w:name w:val="List Table 3 - Accent 1"/>
    <w:basedOn w:val="112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5" w:customStyle="1">
    <w:name w:val="List Table 3 - Accent 2"/>
    <w:basedOn w:val="112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6" w:customStyle="1">
    <w:name w:val="List Table 3 - Accent 3"/>
    <w:basedOn w:val="112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7" w:customStyle="1">
    <w:name w:val="List Table 3 - Accent 4"/>
    <w:basedOn w:val="112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8" w:customStyle="1">
    <w:name w:val="List Table 3 - Accent 5"/>
    <w:basedOn w:val="112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9" w:customStyle="1">
    <w:name w:val="List Table 3 - Accent 6"/>
    <w:basedOn w:val="112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0" w:customStyle="1">
    <w:name w:val="Список-таблица 41"/>
    <w:basedOn w:val="112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1" w:customStyle="1">
    <w:name w:val="List Table 4 - Accent 1"/>
    <w:basedOn w:val="112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2" w:customStyle="1">
    <w:name w:val="List Table 4 - Accent 2"/>
    <w:basedOn w:val="112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3" w:customStyle="1">
    <w:name w:val="List Table 4 - Accent 3"/>
    <w:basedOn w:val="112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4" w:customStyle="1">
    <w:name w:val="List Table 4 - Accent 4"/>
    <w:basedOn w:val="112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5" w:customStyle="1">
    <w:name w:val="List Table 4 - Accent 5"/>
    <w:basedOn w:val="112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6" w:customStyle="1">
    <w:name w:val="List Table 4 - Accent 6"/>
    <w:basedOn w:val="112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7" w:customStyle="1">
    <w:name w:val="Список-таблица 5 тем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8" w:customStyle="1">
    <w:name w:val="List Table 5 Dark - Accent 1"/>
    <w:basedOn w:val="112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89" w:customStyle="1">
    <w:name w:val="List Table 5 Dark - Accent 2"/>
    <w:basedOn w:val="112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90" w:customStyle="1">
    <w:name w:val="List Table 5 Dark - Accent 3"/>
    <w:basedOn w:val="112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91" w:customStyle="1">
    <w:name w:val="List Table 5 Dark - Accent 4"/>
    <w:basedOn w:val="112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92" w:customStyle="1">
    <w:name w:val="List Table 5 Dark - Accent 5"/>
    <w:basedOn w:val="112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93" w:customStyle="1">
    <w:name w:val="List Table 5 Dark - Accent 6"/>
    <w:basedOn w:val="112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294" w:customStyle="1">
    <w:name w:val="Список-таблица 6 цветная1"/>
    <w:basedOn w:val="112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295" w:customStyle="1">
    <w:name w:val="List Table 6 Colorful - Accent 1"/>
    <w:basedOn w:val="112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296" w:customStyle="1">
    <w:name w:val="List Table 6 Colorful - Accent 2"/>
    <w:basedOn w:val="112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297" w:customStyle="1">
    <w:name w:val="List Table 6 Colorful - Accent 3"/>
    <w:basedOn w:val="112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298" w:customStyle="1">
    <w:name w:val="List Table 6 Colorful - Accent 4"/>
    <w:basedOn w:val="112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299" w:customStyle="1">
    <w:name w:val="List Table 6 Colorful - Accent 5"/>
    <w:basedOn w:val="112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300" w:customStyle="1">
    <w:name w:val="List Table 6 Colorful - Accent 6"/>
    <w:basedOn w:val="112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301" w:customStyle="1">
    <w:name w:val="Список-таблица 7 цветная1"/>
    <w:basedOn w:val="112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2" w:customStyle="1">
    <w:name w:val="List Table 7 Colorful - Accent 1"/>
    <w:basedOn w:val="112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3" w:customStyle="1">
    <w:name w:val="List Table 7 Colorful - Accent 2"/>
    <w:basedOn w:val="112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4" w:customStyle="1">
    <w:name w:val="List Table 7 Colorful - Accent 3"/>
    <w:basedOn w:val="112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5" w:customStyle="1">
    <w:name w:val="List Table 7 Colorful - Accent 4"/>
    <w:basedOn w:val="112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6" w:customStyle="1">
    <w:name w:val="List Table 7 Colorful - Accent 5"/>
    <w:basedOn w:val="112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7" w:customStyle="1">
    <w:name w:val="List Table 7 Colorful - Accent 6"/>
    <w:basedOn w:val="112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308" w:customStyle="1">
    <w:name w:val="Lined - Accent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309" w:customStyle="1">
    <w:name w:val="Lined - Accent 1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310" w:customStyle="1">
    <w:name w:val="Lined - Accent 2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311" w:customStyle="1">
    <w:name w:val="Lined - Accent 3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312" w:customStyle="1">
    <w:name w:val="Lined - Accent 4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313" w:customStyle="1">
    <w:name w:val="Lined - Accent 5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314" w:customStyle="1">
    <w:name w:val="Lined - Accent 6"/>
    <w:basedOn w:val="112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315" w:customStyle="1">
    <w:name w:val="Bordered &amp; Lined - Accent"/>
    <w:basedOn w:val="112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316" w:customStyle="1">
    <w:name w:val="Bordered &amp; Lined - Accent 1"/>
    <w:basedOn w:val="112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317" w:customStyle="1">
    <w:name w:val="Bordered &amp; Lined - Accent 2"/>
    <w:basedOn w:val="112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318" w:customStyle="1">
    <w:name w:val="Bordered &amp; Lined - Accent 3"/>
    <w:basedOn w:val="112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319" w:customStyle="1">
    <w:name w:val="Bordered &amp; Lined - Accent 4"/>
    <w:basedOn w:val="112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320" w:customStyle="1">
    <w:name w:val="Bordered &amp; Lined - Accent 5"/>
    <w:basedOn w:val="112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321" w:customStyle="1">
    <w:name w:val="Bordered &amp; Lined - Accent 6"/>
    <w:basedOn w:val="112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322" w:customStyle="1">
    <w:name w:val="Bordered"/>
    <w:basedOn w:val="112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323" w:customStyle="1">
    <w:name w:val="Bordered - Accent 1"/>
    <w:basedOn w:val="112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324" w:customStyle="1">
    <w:name w:val="Bordered - Accent 2"/>
    <w:basedOn w:val="112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325" w:customStyle="1">
    <w:name w:val="Bordered - Accent 3"/>
    <w:basedOn w:val="112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326" w:customStyle="1">
    <w:name w:val="Bordered - Accent 4"/>
    <w:basedOn w:val="112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327" w:customStyle="1">
    <w:name w:val="Bordered - Accent 5"/>
    <w:basedOn w:val="112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328" w:customStyle="1">
    <w:name w:val="Bordered - Accent 6"/>
    <w:basedOn w:val="112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1329" w:customStyle="1">
    <w:name w:val="Footnote Text Char"/>
    <w:uiPriority w:val="99"/>
    <w:rPr>
      <w:sz w:val="18"/>
    </w:rPr>
  </w:style>
  <w:style w:type="character" w:styleId="1330" w:customStyle="1">
    <w:name w:val="Endnote Text Char"/>
    <w:uiPriority w:val="99"/>
    <w:rPr>
      <w:sz w:val="20"/>
    </w:rPr>
  </w:style>
  <w:style w:type="paragraph" w:styleId="1331">
    <w:name w:val="TOC Heading"/>
    <w:uiPriority w:val="39"/>
    <w:unhideWhenUsed/>
  </w:style>
  <w:style w:type="paragraph" w:styleId="1332">
    <w:name w:val="table of figures"/>
    <w:basedOn w:val="1113"/>
    <w:next w:val="1113"/>
    <w:uiPriority w:val="99"/>
    <w:unhideWhenUsed/>
    <w:pPr>
      <w:spacing w:after="0"/>
    </w:pPr>
  </w:style>
  <w:style w:type="character" w:styleId="1333" w:customStyle="1">
    <w:name w:val="Заголовок 1 Знак1"/>
    <w:link w:val="1114"/>
    <w:uiPriority w:val="99"/>
    <w:rPr>
      <w:b/>
      <w:bCs/>
      <w:sz w:val="36"/>
      <w:szCs w:val="36"/>
    </w:rPr>
  </w:style>
  <w:style w:type="character" w:styleId="1334" w:customStyle="1">
    <w:name w:val="Заголовок 2 Знак"/>
    <w:link w:val="1115"/>
    <w:uiPriority w:val="99"/>
    <w:rPr>
      <w:b/>
      <w:bCs/>
      <w:sz w:val="30"/>
      <w:szCs w:val="30"/>
    </w:rPr>
  </w:style>
  <w:style w:type="character" w:styleId="1335" w:customStyle="1">
    <w:name w:val="Заголовок 3 Знак"/>
    <w:link w:val="1116"/>
    <w:uiPriority w:val="99"/>
    <w:rPr>
      <w:rFonts w:ascii="Arial" w:hAnsi="Arial" w:cs="Arial"/>
      <w:b/>
      <w:bCs/>
      <w:sz w:val="24"/>
      <w:szCs w:val="24"/>
    </w:rPr>
  </w:style>
  <w:style w:type="character" w:styleId="1336" w:customStyle="1">
    <w:name w:val="Заголовок 4 Знак"/>
    <w:link w:val="1117"/>
    <w:uiPriority w:val="99"/>
    <w:rPr>
      <w:rFonts w:ascii="Arial" w:hAnsi="Arial" w:cs="Arial"/>
      <w:sz w:val="24"/>
      <w:szCs w:val="24"/>
    </w:rPr>
  </w:style>
  <w:style w:type="character" w:styleId="1337" w:customStyle="1">
    <w:name w:val="Заголовок 5 Знак"/>
    <w:link w:val="1118"/>
    <w:uiPriority w:val="99"/>
    <w:rPr>
      <w:rFonts w:ascii="Calibri" w:hAnsi="Calibri" w:cs="Calibri"/>
      <w:b/>
      <w:bCs/>
      <w:i/>
      <w:iCs/>
      <w:sz w:val="26"/>
      <w:szCs w:val="26"/>
    </w:rPr>
  </w:style>
  <w:style w:type="character" w:styleId="1338" w:customStyle="1">
    <w:name w:val="Заголовок 6 Знак"/>
    <w:link w:val="1119"/>
    <w:uiPriority w:val="99"/>
    <w:rPr>
      <w:i/>
      <w:iCs/>
    </w:rPr>
  </w:style>
  <w:style w:type="character" w:styleId="1339" w:customStyle="1">
    <w:name w:val="Заголовок 7 Знак"/>
    <w:link w:val="1120"/>
    <w:uiPriority w:val="99"/>
    <w:rPr>
      <w:rFonts w:ascii="Arial" w:hAnsi="Arial" w:cs="Arial"/>
      <w:sz w:val="20"/>
      <w:szCs w:val="20"/>
    </w:rPr>
  </w:style>
  <w:style w:type="character" w:styleId="1340" w:customStyle="1">
    <w:name w:val="Заголовок 8 Знак"/>
    <w:link w:val="1121"/>
    <w:uiPriority w:val="99"/>
    <w:rPr>
      <w:rFonts w:ascii="Arial" w:hAnsi="Arial" w:cs="Arial"/>
      <w:i/>
      <w:iCs/>
      <w:sz w:val="20"/>
      <w:szCs w:val="20"/>
    </w:rPr>
  </w:style>
  <w:style w:type="character" w:styleId="1341" w:customStyle="1">
    <w:name w:val="Заголовок 9 Знак"/>
    <w:link w:val="1122"/>
    <w:uiPriority w:val="99"/>
    <w:rPr>
      <w:rFonts w:ascii="Arial" w:hAnsi="Arial" w:cs="Arial"/>
      <w:b/>
      <w:bCs/>
      <w:i/>
      <w:iCs/>
      <w:sz w:val="18"/>
      <w:szCs w:val="18"/>
    </w:rPr>
  </w:style>
  <w:style w:type="paragraph" w:styleId="1342" w:customStyle="1">
    <w:name w:val="Основной текст с отступом1"/>
    <w:basedOn w:val="1113"/>
    <w:uiPriority w:val="99"/>
    <w:pPr>
      <w:ind w:firstLine="851"/>
      <w:spacing w:before="60" w:after="0"/>
    </w:pPr>
  </w:style>
  <w:style w:type="paragraph" w:styleId="1343">
    <w:name w:val="Body Text Indent"/>
    <w:basedOn w:val="1113"/>
    <w:link w:val="1344"/>
    <w:uiPriority w:val="99"/>
    <w:pPr>
      <w:numPr>
        <w:ilvl w:val="1"/>
        <w:numId w:val="4"/>
      </w:numPr>
    </w:pPr>
  </w:style>
  <w:style w:type="character" w:styleId="1344" w:customStyle="1">
    <w:name w:val="Основной текст с отступом Знак"/>
    <w:link w:val="1343"/>
    <w:uiPriority w:val="99"/>
    <w:rPr>
      <w:sz w:val="24"/>
      <w:szCs w:val="24"/>
    </w:rPr>
  </w:style>
  <w:style w:type="paragraph" w:styleId="1345">
    <w:name w:val="List Bullet"/>
    <w:basedOn w:val="1113"/>
    <w:uiPriority w:val="99"/>
    <w:pPr>
      <w:widowControl w:val="off"/>
    </w:pPr>
  </w:style>
  <w:style w:type="paragraph" w:styleId="1346">
    <w:name w:val="List Bullet 2"/>
    <w:basedOn w:val="1113"/>
    <w:uiPriority w:val="99"/>
    <w:pPr>
      <w:ind w:left="643" w:hanging="360"/>
      <w:tabs>
        <w:tab w:val="num" w:pos="643" w:leader="none"/>
      </w:tabs>
    </w:pPr>
  </w:style>
  <w:style w:type="paragraph" w:styleId="1347">
    <w:name w:val="List Bullet 3"/>
    <w:basedOn w:val="1113"/>
    <w:uiPriority w:val="99"/>
    <w:pPr>
      <w:ind w:left="926" w:hanging="360"/>
      <w:tabs>
        <w:tab w:val="num" w:pos="643" w:leader="none"/>
        <w:tab w:val="num" w:pos="926" w:leader="none"/>
      </w:tabs>
    </w:pPr>
  </w:style>
  <w:style w:type="paragraph" w:styleId="1348">
    <w:name w:val="List Bullet 4"/>
    <w:basedOn w:val="1113"/>
    <w:uiPriority w:val="99"/>
    <w:pPr>
      <w:ind w:left="1209" w:hanging="360"/>
      <w:tabs>
        <w:tab w:val="num" w:pos="926" w:leader="none"/>
        <w:tab w:val="num" w:pos="1209" w:leader="none"/>
      </w:tabs>
    </w:pPr>
  </w:style>
  <w:style w:type="paragraph" w:styleId="1349">
    <w:name w:val="List Bullet 5"/>
    <w:basedOn w:val="1113"/>
    <w:uiPriority w:val="99"/>
    <w:pPr>
      <w:ind w:left="1492" w:hanging="360"/>
      <w:tabs>
        <w:tab w:val="num" w:pos="1209" w:leader="none"/>
        <w:tab w:val="num" w:pos="1492" w:leader="none"/>
      </w:tabs>
    </w:pPr>
  </w:style>
  <w:style w:type="paragraph" w:styleId="1350">
    <w:name w:val="List Number"/>
    <w:basedOn w:val="1113"/>
    <w:uiPriority w:val="99"/>
    <w:pPr>
      <w:ind w:left="360" w:hanging="360"/>
      <w:tabs>
        <w:tab w:val="num" w:pos="1492" w:leader="none"/>
      </w:tabs>
    </w:pPr>
  </w:style>
  <w:style w:type="paragraph" w:styleId="1351">
    <w:name w:val="List Number 2"/>
    <w:basedOn w:val="1113"/>
    <w:uiPriority w:val="99"/>
    <w:pPr>
      <w:ind w:left="643" w:hanging="360"/>
      <w:tabs>
        <w:tab w:val="num" w:pos="643" w:leader="none"/>
      </w:tabs>
    </w:pPr>
  </w:style>
  <w:style w:type="paragraph" w:styleId="1352">
    <w:name w:val="List Number 3"/>
    <w:basedOn w:val="1113"/>
    <w:uiPriority w:val="99"/>
    <w:pPr>
      <w:ind w:left="926" w:hanging="360"/>
      <w:tabs>
        <w:tab w:val="num" w:pos="643" w:leader="none"/>
        <w:tab w:val="num" w:pos="926" w:leader="none"/>
      </w:tabs>
    </w:pPr>
  </w:style>
  <w:style w:type="paragraph" w:styleId="1353">
    <w:name w:val="List Number 4"/>
    <w:basedOn w:val="1113"/>
    <w:uiPriority w:val="99"/>
    <w:pPr>
      <w:ind w:left="1209" w:hanging="360"/>
      <w:tabs>
        <w:tab w:val="num" w:pos="926" w:leader="none"/>
        <w:tab w:val="num" w:pos="1209" w:leader="none"/>
      </w:tabs>
    </w:pPr>
  </w:style>
  <w:style w:type="paragraph" w:styleId="1354">
    <w:name w:val="List Number 5"/>
    <w:basedOn w:val="1113"/>
    <w:uiPriority w:val="99"/>
    <w:pPr>
      <w:ind w:left="1492" w:hanging="360"/>
      <w:tabs>
        <w:tab w:val="num" w:pos="1209" w:leader="none"/>
        <w:tab w:val="num" w:pos="1492" w:leader="none"/>
      </w:tabs>
    </w:pPr>
  </w:style>
  <w:style w:type="paragraph" w:styleId="1355" w:customStyle="1">
    <w:name w:val="Раздел"/>
    <w:basedOn w:val="1113"/>
    <w:uiPriority w:val="99"/>
    <w:semiHidden/>
    <w:pPr>
      <w:numPr>
        <w:ilvl w:val="1"/>
        <w:numId w:val="2"/>
      </w:numPr>
      <w:jc w:val="center"/>
      <w:spacing w:before="120" w:after="120"/>
    </w:pPr>
    <w:rPr>
      <w:rFonts w:ascii="Arial Narrow" w:hAnsi="Arial Narrow" w:cs="Arial Narrow"/>
      <w:b/>
      <w:bCs/>
      <w:sz w:val="28"/>
      <w:szCs w:val="28"/>
    </w:rPr>
  </w:style>
  <w:style w:type="paragraph" w:styleId="1356" w:customStyle="1">
    <w:name w:val="Часть"/>
    <w:basedOn w:val="1113"/>
    <w:uiPriority w:val="99"/>
    <w:semiHidden/>
    <w:pPr>
      <w:jc w:val="center"/>
    </w:pPr>
    <w:rPr>
      <w:rFonts w:ascii="Arial" w:hAnsi="Arial" w:cs="Arial"/>
      <w:b/>
      <w:bCs/>
      <w:caps/>
      <w:sz w:val="32"/>
      <w:szCs w:val="32"/>
    </w:rPr>
  </w:style>
  <w:style w:type="paragraph" w:styleId="1357" w:customStyle="1">
    <w:name w:val="Раздел 3"/>
    <w:basedOn w:val="1113"/>
    <w:uiPriority w:val="99"/>
    <w:semiHidden/>
    <w:pPr>
      <w:numPr>
        <w:ilvl w:val="0"/>
        <w:numId w:val="3"/>
      </w:numPr>
      <w:jc w:val="center"/>
      <w:spacing w:before="120" w:after="120"/>
    </w:pPr>
    <w:rPr>
      <w:b/>
      <w:bCs/>
    </w:rPr>
  </w:style>
  <w:style w:type="paragraph" w:styleId="1358" w:customStyle="1">
    <w:name w:val="Условия контракта"/>
    <w:basedOn w:val="1113"/>
    <w:uiPriority w:val="99"/>
    <w:semiHidden/>
    <w:pPr>
      <w:numPr>
        <w:ilvl w:val="0"/>
        <w:numId w:val="4"/>
      </w:numPr>
      <w:spacing w:before="240" w:after="120"/>
    </w:pPr>
    <w:rPr>
      <w:b/>
      <w:bCs/>
    </w:rPr>
  </w:style>
  <w:style w:type="paragraph" w:styleId="1359" w:customStyle="1">
    <w:name w:val="Instruction"/>
    <w:basedOn w:val="1343"/>
    <w:uiPriority w:val="99"/>
    <w:semiHidden/>
    <w:pPr>
      <w:numPr>
        <w:ilvl w:val="0"/>
        <w:numId w:val="0"/>
      </w:numPr>
      <w:ind w:left="360" w:hanging="360"/>
      <w:spacing w:before="180"/>
      <w:tabs>
        <w:tab w:val="num" w:pos="360" w:leader="none"/>
      </w:tabs>
    </w:pPr>
    <w:rPr>
      <w:b/>
      <w:bCs/>
    </w:rPr>
  </w:style>
  <w:style w:type="paragraph" w:styleId="1360">
    <w:name w:val="Title"/>
    <w:basedOn w:val="1113"/>
    <w:link w:val="1361"/>
    <w:uiPriority w:val="10"/>
    <w:qFormat/>
    <w:pPr>
      <w:jc w:val="center"/>
      <w:spacing w:before="240"/>
      <w:outlineLvl w:val="0"/>
    </w:pPr>
    <w:rPr>
      <w:rFonts w:ascii="Cambria" w:hAnsi="Cambria" w:cs="Cambria"/>
      <w:b/>
      <w:bCs/>
      <w:sz w:val="32"/>
      <w:szCs w:val="32"/>
    </w:rPr>
  </w:style>
  <w:style w:type="character" w:styleId="1361" w:customStyle="1">
    <w:name w:val="Заголовок Знак"/>
    <w:link w:val="1360"/>
    <w:uiPriority w:val="99"/>
    <w:rPr>
      <w:rFonts w:ascii="Cambria" w:hAnsi="Cambria" w:cs="Cambria"/>
      <w:b/>
      <w:bCs/>
      <w:sz w:val="32"/>
      <w:szCs w:val="32"/>
    </w:rPr>
  </w:style>
  <w:style w:type="paragraph" w:styleId="1362">
    <w:name w:val="Subtitle"/>
    <w:basedOn w:val="1113"/>
    <w:link w:val="1363"/>
    <w:uiPriority w:val="11"/>
    <w:qFormat/>
    <w:pPr>
      <w:jc w:val="center"/>
      <w:outlineLvl w:val="1"/>
    </w:pPr>
    <w:rPr>
      <w:rFonts w:ascii="Cambria" w:hAnsi="Cambria" w:cs="Cambria"/>
    </w:rPr>
  </w:style>
  <w:style w:type="character" w:styleId="1363" w:customStyle="1">
    <w:name w:val="Подзаголовок Знак"/>
    <w:link w:val="1362"/>
    <w:uiPriority w:val="99"/>
    <w:rPr>
      <w:rFonts w:ascii="Cambria" w:hAnsi="Cambria" w:cs="Cambria"/>
      <w:sz w:val="24"/>
      <w:szCs w:val="24"/>
    </w:rPr>
  </w:style>
  <w:style w:type="paragraph" w:styleId="1364" w:customStyle="1">
    <w:name w:val="Тендерные данные"/>
    <w:basedOn w:val="1113"/>
    <w:uiPriority w:val="99"/>
    <w:semiHidden/>
    <w:pPr>
      <w:spacing w:before="120"/>
      <w:tabs>
        <w:tab w:val="left" w:pos="1985" w:leader="none"/>
      </w:tabs>
    </w:pPr>
    <w:rPr>
      <w:b/>
      <w:bCs/>
    </w:rPr>
  </w:style>
  <w:style w:type="paragraph" w:styleId="1365">
    <w:name w:val="toc 3"/>
    <w:basedOn w:val="1113"/>
    <w:next w:val="1113"/>
    <w:uiPriority w:val="39"/>
    <w:pPr>
      <w:ind w:left="480"/>
      <w:jc w:val="left"/>
      <w:spacing w:after="0"/>
    </w:pPr>
    <w:rPr>
      <w:i/>
      <w:iCs/>
      <w:sz w:val="20"/>
      <w:szCs w:val="20"/>
    </w:rPr>
  </w:style>
  <w:style w:type="paragraph" w:styleId="1366">
    <w:name w:val="toc 1"/>
    <w:basedOn w:val="1113"/>
    <w:next w:val="1113"/>
    <w:uiPriority w:val="39"/>
    <w:pPr>
      <w:jc w:val="left"/>
      <w:spacing w:before="120" w:after="120"/>
    </w:pPr>
    <w:rPr>
      <w:b/>
      <w:bCs/>
      <w:caps/>
      <w:sz w:val="20"/>
      <w:szCs w:val="20"/>
    </w:rPr>
  </w:style>
  <w:style w:type="paragraph" w:styleId="1367">
    <w:name w:val="toc 2"/>
    <w:basedOn w:val="1113"/>
    <w:next w:val="1113"/>
    <w:uiPriority w:val="39"/>
    <w:pPr>
      <w:ind w:left="240"/>
      <w:spacing w:after="0"/>
      <w:tabs>
        <w:tab w:val="left" w:pos="1440" w:leader="none"/>
        <w:tab w:val="right" w:pos="9348" w:leader="dot"/>
      </w:tabs>
    </w:pPr>
    <w:rPr>
      <w:smallCaps/>
      <w:sz w:val="20"/>
      <w:szCs w:val="20"/>
    </w:rPr>
  </w:style>
  <w:style w:type="paragraph" w:styleId="1368">
    <w:name w:val="Date"/>
    <w:basedOn w:val="1113"/>
    <w:next w:val="1113"/>
    <w:link w:val="1369"/>
    <w:uiPriority w:val="99"/>
  </w:style>
  <w:style w:type="character" w:styleId="1369" w:customStyle="1">
    <w:name w:val="Дата Знак"/>
    <w:link w:val="1368"/>
    <w:uiPriority w:val="99"/>
    <w:rPr>
      <w:sz w:val="24"/>
      <w:szCs w:val="24"/>
    </w:rPr>
  </w:style>
  <w:style w:type="paragraph" w:styleId="1370" w:customStyle="1">
    <w:name w:val="Îáû÷íûé"/>
    <w:uiPriority w:val="99"/>
    <w:semiHidden/>
  </w:style>
  <w:style w:type="paragraph" w:styleId="1371" w:customStyle="1">
    <w:name w:val="Íîðìàëüíûé"/>
    <w:uiPriority w:val="99"/>
    <w:semiHidden/>
    <w:rPr>
      <w:rFonts w:ascii="Courier" w:hAnsi="Courier" w:cs="Courier"/>
      <w:sz w:val="24"/>
      <w:szCs w:val="24"/>
      <w:lang w:val="en-GB"/>
    </w:rPr>
  </w:style>
  <w:style w:type="paragraph" w:styleId="1372">
    <w:name w:val="Body Text"/>
    <w:basedOn w:val="1113"/>
    <w:link w:val="1373"/>
    <w:uiPriority w:val="99"/>
    <w:pPr>
      <w:spacing w:after="120"/>
    </w:pPr>
  </w:style>
  <w:style w:type="character" w:styleId="1373" w:customStyle="1">
    <w:name w:val="Основной текст Знак"/>
    <w:link w:val="1372"/>
    <w:uiPriority w:val="99"/>
    <w:rPr>
      <w:sz w:val="24"/>
      <w:szCs w:val="24"/>
    </w:rPr>
  </w:style>
  <w:style w:type="paragraph" w:styleId="1374" w:customStyle="1">
    <w:name w:val="Подраздел"/>
    <w:basedOn w:val="1113"/>
    <w:uiPriority w:val="99"/>
    <w:semiHidden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1375">
    <w:name w:val="Body Text Indent 2"/>
    <w:basedOn w:val="1113"/>
    <w:link w:val="1376"/>
    <w:uiPriority w:val="99"/>
    <w:pPr>
      <w:ind w:left="283"/>
      <w:spacing w:after="120" w:line="480" w:lineRule="auto"/>
    </w:pPr>
  </w:style>
  <w:style w:type="character" w:styleId="1376" w:customStyle="1">
    <w:name w:val="Основной текст с отступом 2 Знак"/>
    <w:link w:val="1375"/>
    <w:uiPriority w:val="99"/>
    <w:rPr>
      <w:sz w:val="24"/>
      <w:szCs w:val="24"/>
    </w:rPr>
  </w:style>
  <w:style w:type="paragraph" w:styleId="1377">
    <w:name w:val="Body Text Indent 3"/>
    <w:basedOn w:val="1113"/>
    <w:link w:val="1378"/>
    <w:uiPriority w:val="99"/>
    <w:pPr>
      <w:ind w:left="283"/>
      <w:spacing w:after="120"/>
    </w:pPr>
    <w:rPr>
      <w:sz w:val="16"/>
      <w:szCs w:val="16"/>
    </w:rPr>
  </w:style>
  <w:style w:type="character" w:styleId="1378" w:customStyle="1">
    <w:name w:val="Основной текст с отступом 3 Знак"/>
    <w:link w:val="1377"/>
    <w:uiPriority w:val="99"/>
    <w:rPr>
      <w:sz w:val="16"/>
      <w:szCs w:val="16"/>
    </w:rPr>
  </w:style>
  <w:style w:type="paragraph" w:styleId="1379">
    <w:name w:val="Header"/>
    <w:basedOn w:val="1113"/>
    <w:link w:val="1380"/>
    <w:uiPriority w:val="99"/>
    <w:pPr>
      <w:spacing w:before="120" w:after="120"/>
      <w:tabs>
        <w:tab w:val="center" w:pos="4153" w:leader="none"/>
        <w:tab w:val="right" w:pos="8306" w:leader="none"/>
      </w:tabs>
    </w:pPr>
  </w:style>
  <w:style w:type="character" w:styleId="1380" w:customStyle="1">
    <w:name w:val="Верхний колонтитул Знак"/>
    <w:link w:val="1379"/>
    <w:uiPriority w:val="99"/>
    <w:rPr>
      <w:sz w:val="24"/>
      <w:szCs w:val="24"/>
    </w:rPr>
  </w:style>
  <w:style w:type="paragraph" w:styleId="1381">
    <w:name w:val="Block Text"/>
    <w:basedOn w:val="1113"/>
    <w:uiPriority w:val="99"/>
    <w:pPr>
      <w:ind w:left="1440" w:right="1440"/>
      <w:spacing w:after="120"/>
    </w:pPr>
  </w:style>
  <w:style w:type="character" w:styleId="1382">
    <w:name w:val="footnote reference"/>
    <w:uiPriority w:val="99"/>
    <w:rPr>
      <w:rFonts w:ascii="Times New Roman" w:hAnsi="Times New Roman" w:cs="Times New Roman"/>
      <w:vertAlign w:val="superscript"/>
    </w:rPr>
  </w:style>
  <w:style w:type="paragraph" w:styleId="1383">
    <w:name w:val="footnote text"/>
    <w:basedOn w:val="1113"/>
    <w:link w:val="1384"/>
    <w:uiPriority w:val="99"/>
    <w:rPr>
      <w:sz w:val="20"/>
      <w:szCs w:val="20"/>
    </w:rPr>
  </w:style>
  <w:style w:type="character" w:styleId="1384" w:customStyle="1">
    <w:name w:val="Текст сноски Знак"/>
    <w:link w:val="1383"/>
    <w:uiPriority w:val="99"/>
    <w:rPr>
      <w:sz w:val="20"/>
      <w:szCs w:val="20"/>
    </w:rPr>
  </w:style>
  <w:style w:type="character" w:styleId="1385">
    <w:name w:val="page number"/>
    <w:uiPriority w:val="99"/>
    <w:rPr>
      <w:rFonts w:ascii="Times New Roman" w:hAnsi="Times New Roman" w:cs="Times New Roman"/>
    </w:rPr>
  </w:style>
  <w:style w:type="paragraph" w:styleId="1386">
    <w:name w:val="Footer"/>
    <w:basedOn w:val="1113"/>
    <w:link w:val="1387"/>
    <w:uiPriority w:val="99"/>
    <w:pPr>
      <w:tabs>
        <w:tab w:val="center" w:pos="4153" w:leader="none"/>
        <w:tab w:val="right" w:pos="8306" w:leader="none"/>
      </w:tabs>
    </w:pPr>
  </w:style>
  <w:style w:type="character" w:styleId="1387" w:customStyle="1">
    <w:name w:val="Нижний колонтитул Знак"/>
    <w:link w:val="1386"/>
    <w:uiPriority w:val="99"/>
    <w:rPr>
      <w:sz w:val="24"/>
      <w:szCs w:val="24"/>
    </w:rPr>
  </w:style>
  <w:style w:type="paragraph" w:styleId="1388">
    <w:name w:val="Body Text 3"/>
    <w:basedOn w:val="1113"/>
    <w:link w:val="1389"/>
    <w:uiPriority w:val="99"/>
    <w:pPr>
      <w:keepLines/>
      <w:keepNext/>
      <w:spacing w:before="148" w:after="112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sz w:val="16"/>
      <w:szCs w:val="16"/>
    </w:rPr>
  </w:style>
  <w:style w:type="character" w:styleId="1389" w:customStyle="1">
    <w:name w:val="Основной текст 3 Знак"/>
    <w:link w:val="1388"/>
    <w:uiPriority w:val="99"/>
    <w:rPr>
      <w:sz w:val="16"/>
      <w:szCs w:val="16"/>
    </w:rPr>
  </w:style>
  <w:style w:type="paragraph" w:styleId="1390">
    <w:name w:val="Plain Text"/>
    <w:basedOn w:val="1113"/>
    <w:link w:val="1391"/>
    <w:uiPriority w:val="99"/>
    <w:pPr>
      <w:jc w:val="left"/>
      <w:spacing w:after="0"/>
    </w:pPr>
    <w:rPr>
      <w:rFonts w:ascii="Courier New" w:hAnsi="Courier New" w:cs="Courier New"/>
      <w:sz w:val="20"/>
      <w:szCs w:val="20"/>
    </w:rPr>
  </w:style>
  <w:style w:type="character" w:styleId="1391" w:customStyle="1">
    <w:name w:val="Текст Знак"/>
    <w:link w:val="1390"/>
    <w:uiPriority w:val="99"/>
    <w:rPr>
      <w:rFonts w:ascii="Courier New" w:hAnsi="Courier New" w:cs="Courier New"/>
      <w:sz w:val="20"/>
      <w:szCs w:val="20"/>
    </w:rPr>
  </w:style>
  <w:style w:type="paragraph" w:styleId="1392" w:customStyle="1">
    <w:name w:val="ConsNormal"/>
    <w:pPr>
      <w:ind w:right="19772" w:firstLine="720"/>
      <w:widowControl w:val="off"/>
    </w:pPr>
    <w:rPr>
      <w:rFonts w:ascii="Arial" w:hAnsi="Arial" w:cs="Arial"/>
    </w:rPr>
  </w:style>
  <w:style w:type="character" w:styleId="1393" w:customStyle="1">
    <w:name w:val="Знак Знак"/>
    <w:uiPriority w:val="99"/>
    <w:semiHidden/>
    <w:rPr>
      <w:rFonts w:ascii="Arial" w:hAnsi="Arial" w:cs="Arial"/>
      <w:sz w:val="24"/>
      <w:szCs w:val="24"/>
      <w:lang w:val="ru-RU" w:eastAsia="ru-RU"/>
    </w:rPr>
  </w:style>
  <w:style w:type="paragraph" w:styleId="1394">
    <w:name w:val="Normal (Web)"/>
    <w:basedOn w:val="1113"/>
    <w:uiPriority w:val="99"/>
    <w:pPr>
      <w:jc w:val="left"/>
      <w:spacing w:before="100" w:beforeAutospacing="1" w:after="100" w:afterAutospacing="1"/>
    </w:pPr>
  </w:style>
  <w:style w:type="paragraph" w:styleId="1395" w:customStyle="1">
    <w:name w:val="ConsNonformat"/>
    <w:uiPriority w:val="99"/>
    <w:semiHidden/>
    <w:pPr>
      <w:ind w:right="19772"/>
      <w:widowControl w:val="off"/>
    </w:pPr>
    <w:rPr>
      <w:rFonts w:ascii="Courier New" w:hAnsi="Courier New" w:cs="Courier New"/>
    </w:rPr>
  </w:style>
  <w:style w:type="character" w:styleId="1396" w:customStyle="1">
    <w:name w:val="Основной шрифт"/>
    <w:uiPriority w:val="99"/>
    <w:semiHidden/>
  </w:style>
  <w:style w:type="paragraph" w:styleId="1397">
    <w:name w:val="HTML Address"/>
    <w:basedOn w:val="1113"/>
    <w:link w:val="1398"/>
    <w:uiPriority w:val="99"/>
    <w:rPr>
      <w:i/>
      <w:iCs/>
    </w:rPr>
  </w:style>
  <w:style w:type="character" w:styleId="1398" w:customStyle="1">
    <w:name w:val="Адрес HTML Знак"/>
    <w:link w:val="1397"/>
    <w:uiPriority w:val="99"/>
    <w:rPr>
      <w:i/>
      <w:iCs/>
      <w:sz w:val="24"/>
      <w:szCs w:val="24"/>
    </w:rPr>
  </w:style>
  <w:style w:type="paragraph" w:styleId="1399">
    <w:name w:val="envelope address"/>
    <w:basedOn w:val="1113"/>
    <w:uiPriority w:val="99"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400">
    <w:name w:val="HTML Acronym"/>
    <w:basedOn w:val="1123"/>
    <w:uiPriority w:val="99"/>
  </w:style>
  <w:style w:type="character" w:styleId="1401">
    <w:name w:val="Emphasis"/>
    <w:uiPriority w:val="99"/>
    <w:rPr>
      <w:i/>
      <w:iCs/>
    </w:rPr>
  </w:style>
  <w:style w:type="character" w:styleId="1402">
    <w:name w:val="Hyperlink"/>
    <w:link w:val="1567"/>
    <w:uiPriority w:val="99"/>
    <w:rPr>
      <w:color w:val="0000ff"/>
      <w:u w:val="single"/>
    </w:rPr>
  </w:style>
  <w:style w:type="paragraph" w:styleId="1403">
    <w:name w:val="Note Heading"/>
    <w:basedOn w:val="1113"/>
    <w:next w:val="1113"/>
    <w:link w:val="1404"/>
    <w:uiPriority w:val="99"/>
  </w:style>
  <w:style w:type="character" w:styleId="1404" w:customStyle="1">
    <w:name w:val="Заголовок записки Знак"/>
    <w:link w:val="1403"/>
    <w:uiPriority w:val="99"/>
    <w:rPr>
      <w:sz w:val="24"/>
      <w:szCs w:val="24"/>
    </w:rPr>
  </w:style>
  <w:style w:type="character" w:styleId="1405">
    <w:name w:val="HTML Keyboard"/>
    <w:uiPriority w:val="99"/>
    <w:rPr>
      <w:rFonts w:ascii="Courier New" w:hAnsi="Courier New" w:cs="Courier New"/>
      <w:sz w:val="20"/>
      <w:szCs w:val="20"/>
    </w:rPr>
  </w:style>
  <w:style w:type="character" w:styleId="1406">
    <w:name w:val="HTML Code"/>
    <w:uiPriority w:val="99"/>
    <w:rPr>
      <w:rFonts w:ascii="Courier New" w:hAnsi="Courier New" w:cs="Courier New"/>
      <w:sz w:val="20"/>
      <w:szCs w:val="20"/>
    </w:rPr>
  </w:style>
  <w:style w:type="paragraph" w:styleId="1407">
    <w:name w:val="Body Text First Indent"/>
    <w:basedOn w:val="1372"/>
    <w:link w:val="1408"/>
    <w:uiPriority w:val="99"/>
    <w:pPr>
      <w:ind w:firstLine="210"/>
    </w:pPr>
  </w:style>
  <w:style w:type="character" w:styleId="1408" w:customStyle="1">
    <w:name w:val="Красная строка Знак"/>
    <w:basedOn w:val="1373"/>
    <w:link w:val="1407"/>
    <w:uiPriority w:val="99"/>
    <w:rPr>
      <w:sz w:val="24"/>
      <w:szCs w:val="24"/>
    </w:rPr>
  </w:style>
  <w:style w:type="paragraph" w:styleId="1409">
    <w:name w:val="Body Text First Indent 2"/>
    <w:basedOn w:val="1342"/>
    <w:link w:val="1410"/>
    <w:uiPriority w:val="99"/>
    <w:pPr>
      <w:ind w:left="283" w:firstLine="210"/>
      <w:spacing w:before="0" w:after="120"/>
    </w:pPr>
  </w:style>
  <w:style w:type="character" w:styleId="1410" w:customStyle="1">
    <w:name w:val="Красная строка 2 Знак"/>
    <w:basedOn w:val="1344"/>
    <w:link w:val="1409"/>
    <w:uiPriority w:val="99"/>
    <w:rPr>
      <w:sz w:val="24"/>
      <w:szCs w:val="24"/>
    </w:rPr>
  </w:style>
  <w:style w:type="character" w:styleId="1411">
    <w:name w:val="line number"/>
    <w:basedOn w:val="1123"/>
    <w:uiPriority w:val="99"/>
  </w:style>
  <w:style w:type="character" w:styleId="1412">
    <w:name w:val="HTML Sample"/>
    <w:uiPriority w:val="99"/>
    <w:rPr>
      <w:rFonts w:ascii="Courier New" w:hAnsi="Courier New" w:cs="Courier New"/>
    </w:rPr>
  </w:style>
  <w:style w:type="paragraph" w:styleId="1413">
    <w:name w:val="envelope return"/>
    <w:basedOn w:val="1113"/>
    <w:uiPriority w:val="99"/>
    <w:rPr>
      <w:rFonts w:ascii="Arial" w:hAnsi="Arial" w:cs="Arial"/>
      <w:sz w:val="20"/>
      <w:szCs w:val="20"/>
    </w:rPr>
  </w:style>
  <w:style w:type="paragraph" w:styleId="1414">
    <w:name w:val="Normal Indent"/>
    <w:basedOn w:val="1113"/>
    <w:uiPriority w:val="99"/>
    <w:pPr>
      <w:ind w:left="708"/>
    </w:pPr>
  </w:style>
  <w:style w:type="character" w:styleId="1415">
    <w:name w:val="HTML Definition"/>
    <w:uiPriority w:val="99"/>
    <w:rPr>
      <w:i/>
      <w:iCs/>
    </w:rPr>
  </w:style>
  <w:style w:type="character" w:styleId="1416">
    <w:name w:val="HTML Variable"/>
    <w:uiPriority w:val="99"/>
    <w:rPr>
      <w:i/>
      <w:iCs/>
    </w:rPr>
  </w:style>
  <w:style w:type="character" w:styleId="1417">
    <w:name w:val="HTML Typewriter"/>
    <w:uiPriority w:val="99"/>
    <w:rPr>
      <w:rFonts w:ascii="Courier New" w:hAnsi="Courier New" w:cs="Courier New"/>
      <w:sz w:val="20"/>
      <w:szCs w:val="20"/>
    </w:rPr>
  </w:style>
  <w:style w:type="paragraph" w:styleId="1418">
    <w:name w:val="Signature"/>
    <w:basedOn w:val="1113"/>
    <w:link w:val="1419"/>
    <w:uiPriority w:val="99"/>
    <w:pPr>
      <w:ind w:left="4252"/>
    </w:pPr>
  </w:style>
  <w:style w:type="character" w:styleId="1419" w:customStyle="1">
    <w:name w:val="Подпись Знак"/>
    <w:link w:val="1418"/>
    <w:uiPriority w:val="99"/>
    <w:rPr>
      <w:sz w:val="24"/>
      <w:szCs w:val="24"/>
    </w:rPr>
  </w:style>
  <w:style w:type="paragraph" w:styleId="1420">
    <w:name w:val="Salutation"/>
    <w:basedOn w:val="1113"/>
    <w:next w:val="1113"/>
    <w:link w:val="1421"/>
    <w:uiPriority w:val="99"/>
  </w:style>
  <w:style w:type="character" w:styleId="1421" w:customStyle="1">
    <w:name w:val="Приветствие Знак"/>
    <w:link w:val="1420"/>
    <w:uiPriority w:val="99"/>
    <w:rPr>
      <w:sz w:val="24"/>
      <w:szCs w:val="24"/>
    </w:rPr>
  </w:style>
  <w:style w:type="paragraph" w:styleId="1422">
    <w:name w:val="List Continue"/>
    <w:basedOn w:val="1113"/>
    <w:uiPriority w:val="99"/>
    <w:pPr>
      <w:ind w:left="283"/>
      <w:spacing w:after="120"/>
    </w:pPr>
  </w:style>
  <w:style w:type="paragraph" w:styleId="1423">
    <w:name w:val="List Continue 2"/>
    <w:basedOn w:val="1113"/>
    <w:uiPriority w:val="99"/>
    <w:pPr>
      <w:ind w:left="566"/>
      <w:spacing w:after="120"/>
    </w:pPr>
  </w:style>
  <w:style w:type="paragraph" w:styleId="1424">
    <w:name w:val="List Continue 3"/>
    <w:basedOn w:val="1113"/>
    <w:uiPriority w:val="99"/>
    <w:pPr>
      <w:ind w:left="849"/>
      <w:spacing w:after="120"/>
    </w:pPr>
  </w:style>
  <w:style w:type="paragraph" w:styleId="1425">
    <w:name w:val="List Continue 4"/>
    <w:basedOn w:val="1113"/>
    <w:uiPriority w:val="99"/>
    <w:pPr>
      <w:ind w:left="1132"/>
      <w:spacing w:after="120"/>
    </w:pPr>
  </w:style>
  <w:style w:type="paragraph" w:styleId="1426">
    <w:name w:val="List Continue 5"/>
    <w:basedOn w:val="1113"/>
    <w:uiPriority w:val="99"/>
    <w:pPr>
      <w:ind w:left="1415"/>
      <w:spacing w:after="120"/>
    </w:pPr>
  </w:style>
  <w:style w:type="character" w:styleId="1427">
    <w:name w:val="FollowedHyperlink"/>
    <w:uiPriority w:val="99"/>
    <w:rPr>
      <w:color w:val="800080"/>
      <w:u w:val="single"/>
    </w:rPr>
  </w:style>
  <w:style w:type="paragraph" w:styleId="1428">
    <w:name w:val="Closing"/>
    <w:basedOn w:val="1113"/>
    <w:link w:val="1429"/>
    <w:uiPriority w:val="99"/>
    <w:pPr>
      <w:ind w:left="4252"/>
    </w:pPr>
  </w:style>
  <w:style w:type="character" w:styleId="1429" w:customStyle="1">
    <w:name w:val="Прощание Знак"/>
    <w:link w:val="1428"/>
    <w:uiPriority w:val="99"/>
    <w:rPr>
      <w:sz w:val="24"/>
      <w:szCs w:val="24"/>
    </w:rPr>
  </w:style>
  <w:style w:type="paragraph" w:styleId="1430">
    <w:name w:val="List"/>
    <w:basedOn w:val="1113"/>
    <w:uiPriority w:val="99"/>
    <w:pPr>
      <w:ind w:left="283" w:hanging="283"/>
    </w:pPr>
  </w:style>
  <w:style w:type="paragraph" w:styleId="1431">
    <w:name w:val="List 2"/>
    <w:basedOn w:val="1113"/>
    <w:uiPriority w:val="99"/>
    <w:pPr>
      <w:ind w:left="566" w:hanging="283"/>
    </w:pPr>
  </w:style>
  <w:style w:type="paragraph" w:styleId="1432">
    <w:name w:val="List 3"/>
    <w:basedOn w:val="1113"/>
    <w:uiPriority w:val="99"/>
    <w:pPr>
      <w:ind w:left="849" w:hanging="283"/>
    </w:pPr>
  </w:style>
  <w:style w:type="paragraph" w:styleId="1433">
    <w:name w:val="List 4"/>
    <w:basedOn w:val="1113"/>
    <w:uiPriority w:val="99"/>
    <w:pPr>
      <w:ind w:left="1132" w:hanging="283"/>
    </w:pPr>
  </w:style>
  <w:style w:type="paragraph" w:styleId="1434">
    <w:name w:val="List 5"/>
    <w:basedOn w:val="1113"/>
    <w:uiPriority w:val="99"/>
    <w:pPr>
      <w:ind w:left="1415" w:hanging="283"/>
    </w:pPr>
  </w:style>
  <w:style w:type="paragraph" w:styleId="1435">
    <w:name w:val="HTML Preformatted"/>
    <w:basedOn w:val="1113"/>
    <w:link w:val="1436"/>
    <w:uiPriority w:val="99"/>
    <w:rPr>
      <w:rFonts w:ascii="Courier New" w:hAnsi="Courier New" w:cs="Courier New"/>
      <w:sz w:val="20"/>
      <w:szCs w:val="20"/>
    </w:rPr>
  </w:style>
  <w:style w:type="character" w:styleId="1436" w:customStyle="1">
    <w:name w:val="Стандартный HTML Знак"/>
    <w:link w:val="1435"/>
    <w:uiPriority w:val="99"/>
    <w:rPr>
      <w:rFonts w:ascii="Courier New" w:hAnsi="Courier New" w:cs="Courier New"/>
      <w:sz w:val="20"/>
      <w:szCs w:val="20"/>
    </w:rPr>
  </w:style>
  <w:style w:type="character" w:styleId="1437">
    <w:name w:val="Strong"/>
    <w:uiPriority w:val="22"/>
    <w:rPr>
      <w:b/>
      <w:bCs/>
    </w:rPr>
  </w:style>
  <w:style w:type="character" w:styleId="1438">
    <w:name w:val="HTML Cite"/>
    <w:uiPriority w:val="99"/>
    <w:rPr>
      <w:i/>
      <w:iCs/>
    </w:rPr>
  </w:style>
  <w:style w:type="paragraph" w:styleId="1439">
    <w:name w:val="Message Header"/>
    <w:basedOn w:val="1113"/>
    <w:link w:val="1440"/>
    <w:uiPriority w:val="99"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mbria" w:hAnsi="Cambria" w:cs="Cambria"/>
    </w:rPr>
  </w:style>
  <w:style w:type="character" w:styleId="1440" w:customStyle="1">
    <w:name w:val="Шапка Знак"/>
    <w:link w:val="1439"/>
    <w:uiPriority w:val="99"/>
    <w:rPr>
      <w:rFonts w:ascii="Cambria" w:hAnsi="Cambria" w:cs="Cambria"/>
      <w:sz w:val="24"/>
      <w:szCs w:val="24"/>
      <w:shd w:val="pct20" w:color="auto" w:fill="auto"/>
    </w:rPr>
  </w:style>
  <w:style w:type="paragraph" w:styleId="1441">
    <w:name w:val="E-mail Signature"/>
    <w:basedOn w:val="1113"/>
    <w:link w:val="1442"/>
    <w:uiPriority w:val="99"/>
  </w:style>
  <w:style w:type="character" w:styleId="1442" w:customStyle="1">
    <w:name w:val="Электронная подпись Знак"/>
    <w:link w:val="1441"/>
    <w:uiPriority w:val="99"/>
    <w:rPr>
      <w:sz w:val="24"/>
      <w:szCs w:val="24"/>
    </w:rPr>
  </w:style>
  <w:style w:type="paragraph" w:styleId="1443">
    <w:name w:val="toc 4"/>
    <w:basedOn w:val="1113"/>
    <w:next w:val="1113"/>
    <w:uiPriority w:val="39"/>
    <w:pPr>
      <w:ind w:left="720"/>
      <w:jc w:val="left"/>
      <w:spacing w:after="0"/>
    </w:pPr>
    <w:rPr>
      <w:sz w:val="18"/>
      <w:szCs w:val="18"/>
    </w:rPr>
  </w:style>
  <w:style w:type="paragraph" w:styleId="1444">
    <w:name w:val="toc 5"/>
    <w:basedOn w:val="1113"/>
    <w:next w:val="1113"/>
    <w:uiPriority w:val="39"/>
    <w:pPr>
      <w:ind w:left="960"/>
      <w:jc w:val="left"/>
      <w:spacing w:after="0"/>
    </w:pPr>
    <w:rPr>
      <w:sz w:val="18"/>
      <w:szCs w:val="18"/>
    </w:rPr>
  </w:style>
  <w:style w:type="paragraph" w:styleId="1445">
    <w:name w:val="toc 6"/>
    <w:basedOn w:val="1113"/>
    <w:next w:val="1113"/>
    <w:uiPriority w:val="39"/>
    <w:pPr>
      <w:ind w:left="1200"/>
      <w:jc w:val="left"/>
      <w:spacing w:after="0"/>
    </w:pPr>
    <w:rPr>
      <w:sz w:val="18"/>
      <w:szCs w:val="18"/>
    </w:rPr>
  </w:style>
  <w:style w:type="paragraph" w:styleId="1446">
    <w:name w:val="toc 7"/>
    <w:basedOn w:val="1113"/>
    <w:next w:val="1113"/>
    <w:uiPriority w:val="39"/>
    <w:pPr>
      <w:ind w:left="1440"/>
      <w:jc w:val="left"/>
      <w:spacing w:after="0"/>
    </w:pPr>
    <w:rPr>
      <w:sz w:val="18"/>
      <w:szCs w:val="18"/>
    </w:rPr>
  </w:style>
  <w:style w:type="paragraph" w:styleId="1447">
    <w:name w:val="toc 8"/>
    <w:basedOn w:val="1113"/>
    <w:next w:val="1113"/>
    <w:uiPriority w:val="39"/>
    <w:pPr>
      <w:ind w:left="1680"/>
      <w:jc w:val="left"/>
      <w:spacing w:after="0"/>
    </w:pPr>
    <w:rPr>
      <w:sz w:val="18"/>
      <w:szCs w:val="18"/>
    </w:rPr>
  </w:style>
  <w:style w:type="paragraph" w:styleId="1448">
    <w:name w:val="toc 9"/>
    <w:basedOn w:val="1113"/>
    <w:next w:val="1113"/>
    <w:uiPriority w:val="39"/>
    <w:pPr>
      <w:ind w:left="1920"/>
      <w:jc w:val="left"/>
      <w:spacing w:after="0"/>
    </w:pPr>
    <w:rPr>
      <w:sz w:val="18"/>
      <w:szCs w:val="18"/>
    </w:rPr>
  </w:style>
  <w:style w:type="paragraph" w:styleId="1449" w:customStyle="1">
    <w:name w:val="Стиль1"/>
    <w:basedOn w:val="1113"/>
    <w:pPr>
      <w:numPr>
        <w:ilvl w:val="0"/>
        <w:numId w:val="5"/>
      </w:numPr>
      <w:jc w:val="left"/>
      <w:keepLines/>
      <w:keepNext/>
      <w:widowControl w:val="off"/>
      <w:suppressLineNumbers/>
    </w:pPr>
    <w:rPr>
      <w:b/>
      <w:bCs/>
      <w:sz w:val="28"/>
      <w:szCs w:val="28"/>
    </w:rPr>
  </w:style>
  <w:style w:type="paragraph" w:styleId="1450" w:customStyle="1">
    <w:name w:val="содержание2-1"/>
    <w:basedOn w:val="1116"/>
    <w:next w:val="1113"/>
    <w:uiPriority w:val="99"/>
  </w:style>
  <w:style w:type="paragraph" w:styleId="1451" w:customStyle="1">
    <w:name w:val="Заголовок 2.1"/>
    <w:basedOn w:val="1114"/>
    <w:uiPriority w:val="99"/>
    <w:pPr>
      <w:keepLines/>
      <w:widowControl w:val="off"/>
      <w:suppressLineNumbers/>
    </w:pPr>
    <w:rPr>
      <w:caps/>
    </w:rPr>
  </w:style>
  <w:style w:type="paragraph" w:styleId="1452" w:customStyle="1">
    <w:name w:val="Стиль2"/>
    <w:basedOn w:val="1351"/>
    <w:uiPriority w:val="99"/>
    <w:pPr>
      <w:numPr>
        <w:ilvl w:val="1"/>
        <w:numId w:val="5"/>
      </w:numPr>
      <w:keepLines/>
      <w:keepNext/>
      <w:widowControl w:val="off"/>
      <w:tabs>
        <w:tab w:val="num" w:pos="1492" w:leader="none"/>
      </w:tabs>
      <w:suppressLineNumbers/>
    </w:pPr>
    <w:rPr>
      <w:b/>
      <w:bCs/>
    </w:rPr>
  </w:style>
  <w:style w:type="paragraph" w:styleId="1453" w:customStyle="1">
    <w:name w:val="Стиль3"/>
    <w:basedOn w:val="1375"/>
    <w:uiPriority w:val="99"/>
    <w:pPr>
      <w:numPr>
        <w:ilvl w:val="2"/>
        <w:numId w:val="5"/>
      </w:numPr>
      <w:spacing w:after="0" w:line="240" w:lineRule="auto"/>
      <w:widowControl w:val="off"/>
    </w:pPr>
  </w:style>
  <w:style w:type="paragraph" w:styleId="1454" w:customStyle="1">
    <w:name w:val="содержание2-11"/>
    <w:basedOn w:val="1113"/>
    <w:uiPriority w:val="99"/>
  </w:style>
  <w:style w:type="character" w:styleId="1455" w:customStyle="1">
    <w:name w:val="Знак Знак1"/>
    <w:uiPriority w:val="99"/>
    <w:rPr>
      <w:sz w:val="24"/>
      <w:szCs w:val="24"/>
      <w:lang w:val="ru-RU" w:eastAsia="ru-RU"/>
    </w:rPr>
  </w:style>
  <w:style w:type="character" w:styleId="1456" w:customStyle="1">
    <w:name w:val="Стиль3 Знак"/>
    <w:uiPriority w:val="99"/>
    <w:rPr>
      <w:sz w:val="24"/>
      <w:szCs w:val="24"/>
      <w:lang w:val="ru-RU" w:eastAsia="ru-RU"/>
    </w:rPr>
  </w:style>
  <w:style w:type="paragraph" w:styleId="1457" w:customStyle="1">
    <w:name w:val="Стиль4"/>
    <w:basedOn w:val="1115"/>
    <w:next w:val="1113"/>
    <w:uiPriority w:val="99"/>
    <w:pPr>
      <w:ind w:firstLine="567"/>
      <w:keepLines/>
      <w:widowControl w:val="off"/>
      <w:suppressLineNumbers/>
    </w:pPr>
  </w:style>
  <w:style w:type="paragraph" w:styleId="1458" w:customStyle="1">
    <w:name w:val="Таблица заголовок"/>
    <w:basedOn w:val="1113"/>
    <w:uiPriority w:val="99"/>
    <w:pPr>
      <w:jc w:val="right"/>
      <w:spacing w:before="120" w:after="120" w:line="360" w:lineRule="auto"/>
    </w:pPr>
    <w:rPr>
      <w:b/>
      <w:bCs/>
      <w:sz w:val="28"/>
      <w:szCs w:val="28"/>
    </w:rPr>
  </w:style>
  <w:style w:type="paragraph" w:styleId="1459" w:customStyle="1">
    <w:name w:val="текст таблицы"/>
    <w:basedOn w:val="1113"/>
    <w:uiPriority w:val="99"/>
    <w:pPr>
      <w:ind w:right="-102"/>
      <w:jc w:val="left"/>
      <w:spacing w:before="120" w:after="0"/>
    </w:pPr>
  </w:style>
  <w:style w:type="paragraph" w:styleId="1460" w:customStyle="1">
    <w:name w:val="Пункт Знак"/>
    <w:basedOn w:val="1113"/>
    <w:uiPriority w:val="99"/>
    <w:pPr>
      <w:ind w:left="1134" w:hanging="567"/>
      <w:spacing w:after="0" w:line="360" w:lineRule="auto"/>
      <w:tabs>
        <w:tab w:val="num" w:pos="1134" w:leader="none"/>
        <w:tab w:val="left" w:pos="1701" w:leader="none"/>
      </w:tabs>
    </w:pPr>
    <w:rPr>
      <w:sz w:val="28"/>
      <w:szCs w:val="28"/>
    </w:rPr>
  </w:style>
  <w:style w:type="paragraph" w:styleId="1461" w:customStyle="1">
    <w:name w:val="a"/>
    <w:basedOn w:val="1113"/>
    <w:uiPriority w:val="99"/>
    <w:pPr>
      <w:ind w:left="1134" w:hanging="567"/>
      <w:spacing w:after="0" w:line="360" w:lineRule="auto"/>
    </w:pPr>
    <w:rPr>
      <w:sz w:val="28"/>
      <w:szCs w:val="28"/>
    </w:rPr>
  </w:style>
  <w:style w:type="paragraph" w:styleId="1462" w:customStyle="1">
    <w:name w:val="Словарная статья"/>
    <w:basedOn w:val="1113"/>
    <w:next w:val="1113"/>
    <w:uiPriority w:val="99"/>
    <w:pPr>
      <w:ind w:right="118"/>
      <w:spacing w:after="0"/>
    </w:pPr>
    <w:rPr>
      <w:rFonts w:ascii="Arial" w:hAnsi="Arial" w:cs="Arial"/>
      <w:sz w:val="20"/>
      <w:szCs w:val="20"/>
    </w:rPr>
  </w:style>
  <w:style w:type="paragraph" w:styleId="1463" w:customStyle="1">
    <w:name w:val="Комментарий пользователя"/>
    <w:basedOn w:val="1113"/>
    <w:next w:val="1113"/>
    <w:uiPriority w:val="99"/>
    <w:pPr>
      <w:ind w:left="170"/>
      <w:jc w:val="left"/>
      <w:spacing w:after="0"/>
    </w:pPr>
    <w:rPr>
      <w:rFonts w:ascii="Arial" w:hAnsi="Arial" w:cs="Arial"/>
      <w:i/>
      <w:iCs/>
      <w:color w:val="000080"/>
      <w:sz w:val="20"/>
      <w:szCs w:val="20"/>
    </w:rPr>
  </w:style>
  <w:style w:type="character" w:styleId="1464" w:customStyle="1">
    <w:name w:val="Стиль3 Знак Знак"/>
    <w:uiPriority w:val="99"/>
    <w:rPr>
      <w:sz w:val="24"/>
      <w:szCs w:val="24"/>
      <w:lang w:val="ru-RU" w:eastAsia="ru-RU"/>
    </w:rPr>
  </w:style>
  <w:style w:type="paragraph" w:styleId="1465">
    <w:name w:val="Balloon Text"/>
    <w:basedOn w:val="1113"/>
    <w:link w:val="1466"/>
    <w:uiPriority w:val="99"/>
    <w:semiHidden/>
    <w:rPr>
      <w:sz w:val="20"/>
      <w:szCs w:val="2"/>
    </w:rPr>
  </w:style>
  <w:style w:type="character" w:styleId="1466" w:customStyle="1">
    <w:name w:val="Текст выноски Знак"/>
    <w:link w:val="1465"/>
    <w:uiPriority w:val="99"/>
    <w:semiHidden/>
    <w:rPr>
      <w:szCs w:val="2"/>
    </w:rPr>
  </w:style>
  <w:style w:type="character" w:styleId="1467" w:customStyle="1">
    <w:name w:val="label_body_text_1"/>
    <w:uiPriority w:val="99"/>
  </w:style>
  <w:style w:type="paragraph" w:styleId="1468" w:customStyle="1">
    <w:name w:val="Заголовок 1.Document Header1"/>
    <w:basedOn w:val="1113"/>
    <w:next w:val="1113"/>
    <w:uiPriority w:val="99"/>
    <w:pPr>
      <w:jc w:val="center"/>
      <w:keepNext/>
      <w:spacing w:before="240"/>
      <w:outlineLvl w:val="0"/>
    </w:pPr>
    <w:rPr>
      <w:sz w:val="36"/>
      <w:szCs w:val="36"/>
    </w:rPr>
  </w:style>
  <w:style w:type="paragraph" w:styleId="1469" w:customStyle="1">
    <w:name w:val="ConsPlusNormal"/>
    <w:link w:val="1550"/>
    <w:qFormat/>
    <w:pPr>
      <w:ind w:firstLine="720"/>
      <w:widowControl w:val="off"/>
    </w:pPr>
    <w:rPr>
      <w:rFonts w:ascii="Arial" w:hAnsi="Arial" w:cs="Arial"/>
    </w:rPr>
  </w:style>
  <w:style w:type="character" w:styleId="1470" w:customStyle="1">
    <w:name w:val="Знак Знак11"/>
    <w:uiPriority w:val="99"/>
    <w:rPr>
      <w:sz w:val="24"/>
      <w:szCs w:val="24"/>
      <w:lang w:val="ru-RU" w:eastAsia="ru-RU"/>
    </w:rPr>
  </w:style>
  <w:style w:type="character" w:styleId="1471">
    <w:name w:val="annotation reference"/>
    <w:uiPriority w:val="99"/>
    <w:semiHidden/>
    <w:rPr>
      <w:sz w:val="16"/>
      <w:szCs w:val="16"/>
    </w:rPr>
  </w:style>
  <w:style w:type="paragraph" w:styleId="1472">
    <w:name w:val="annotation text"/>
    <w:basedOn w:val="1113"/>
    <w:link w:val="1473"/>
    <w:uiPriority w:val="99"/>
    <w:qFormat/>
    <w:rPr>
      <w:sz w:val="20"/>
      <w:szCs w:val="20"/>
    </w:rPr>
  </w:style>
  <w:style w:type="character" w:styleId="1473" w:customStyle="1">
    <w:name w:val="Текст примечания Знак"/>
    <w:link w:val="1472"/>
    <w:uiPriority w:val="99"/>
  </w:style>
  <w:style w:type="paragraph" w:styleId="1474">
    <w:name w:val="annotation subject"/>
    <w:basedOn w:val="1472"/>
    <w:next w:val="1472"/>
    <w:link w:val="1475"/>
    <w:uiPriority w:val="99"/>
    <w:semiHidden/>
    <w:rPr>
      <w:b/>
      <w:bCs/>
    </w:rPr>
  </w:style>
  <w:style w:type="character" w:styleId="1475" w:customStyle="1">
    <w:name w:val="Тема примечания Знак"/>
    <w:link w:val="1474"/>
    <w:uiPriority w:val="99"/>
    <w:semiHidden/>
    <w:rPr>
      <w:b/>
      <w:bCs/>
      <w:sz w:val="20"/>
      <w:szCs w:val="20"/>
    </w:rPr>
  </w:style>
  <w:style w:type="paragraph" w:styleId="1476" w:customStyle="1">
    <w:name w:val="20"/>
    <w:basedOn w:val="1113"/>
    <w:uiPriority w:val="99"/>
    <w:pPr>
      <w:ind w:left="104" w:right="104"/>
      <w:jc w:val="left"/>
      <w:spacing w:before="104" w:after="104"/>
    </w:pPr>
  </w:style>
  <w:style w:type="character" w:styleId="1477" w:customStyle="1">
    <w:name w:val="Заголовок 1 Знак"/>
    <w:rPr>
      <w:b/>
      <w:bCs/>
      <w:sz w:val="36"/>
      <w:szCs w:val="36"/>
      <w:lang w:val="ru-RU" w:eastAsia="ru-RU"/>
    </w:rPr>
  </w:style>
  <w:style w:type="paragraph" w:styleId="1478" w:customStyle="1">
    <w:name w:val="Пункт"/>
    <w:basedOn w:val="1113"/>
    <w:link w:val="1505"/>
    <w:uiPriority w:val="99"/>
    <w:pPr>
      <w:ind w:left="1404" w:hanging="504"/>
      <w:spacing w:after="0"/>
      <w:tabs>
        <w:tab w:val="num" w:pos="1980" w:leader="none"/>
      </w:tabs>
    </w:pPr>
  </w:style>
  <w:style w:type="paragraph" w:styleId="1479" w:customStyle="1">
    <w:name w:val="Подпункт"/>
    <w:basedOn w:val="1478"/>
    <w:pPr>
      <w:ind w:left="1728" w:hanging="648"/>
      <w:tabs>
        <w:tab w:val="clear" w:pos="1980" w:leader="none"/>
        <w:tab w:val="num" w:pos="2520" w:leader="none"/>
      </w:tabs>
    </w:pPr>
  </w:style>
  <w:style w:type="paragraph" w:styleId="1480">
    <w:name w:val="Document Map"/>
    <w:basedOn w:val="1113"/>
    <w:link w:val="1481"/>
    <w:uiPriority w:val="99"/>
    <w:semiHidden/>
    <w:pPr>
      <w:shd w:val="clear" w:color="auto" w:fill="000080"/>
    </w:pPr>
    <w:rPr>
      <w:sz w:val="2"/>
      <w:szCs w:val="2"/>
    </w:rPr>
  </w:style>
  <w:style w:type="character" w:styleId="1481" w:customStyle="1">
    <w:name w:val="Схема документа Знак"/>
    <w:link w:val="1480"/>
    <w:uiPriority w:val="99"/>
    <w:semiHidden/>
    <w:rPr>
      <w:sz w:val="2"/>
      <w:szCs w:val="2"/>
    </w:rPr>
  </w:style>
  <w:style w:type="paragraph" w:styleId="1482" w:customStyle="1">
    <w:name w:val="Таблица шапка"/>
    <w:basedOn w:val="1113"/>
    <w:uiPriority w:val="99"/>
    <w:pPr>
      <w:ind w:left="57" w:right="57"/>
      <w:jc w:val="left"/>
      <w:keepNext/>
      <w:spacing w:before="40" w:after="40"/>
    </w:pPr>
    <w:rPr>
      <w:sz w:val="18"/>
      <w:szCs w:val="18"/>
    </w:rPr>
  </w:style>
  <w:style w:type="paragraph" w:styleId="1483" w:customStyle="1">
    <w:name w:val="Таблица текст"/>
    <w:basedOn w:val="1113"/>
    <w:pPr>
      <w:ind w:left="57" w:right="57"/>
      <w:jc w:val="left"/>
      <w:spacing w:before="40" w:after="40"/>
    </w:pPr>
    <w:rPr>
      <w:sz w:val="22"/>
      <w:szCs w:val="22"/>
    </w:rPr>
  </w:style>
  <w:style w:type="paragraph" w:styleId="1484" w:customStyle="1">
    <w:name w:val="пункт"/>
    <w:basedOn w:val="1113"/>
    <w:uiPriority w:val="99"/>
    <w:pPr>
      <w:numPr>
        <w:ilvl w:val="2"/>
        <w:numId w:val="7"/>
      </w:numPr>
      <w:jc w:val="left"/>
      <w:spacing w:before="60"/>
    </w:pPr>
  </w:style>
  <w:style w:type="character" w:styleId="1485" w:customStyle="1">
    <w:name w:val="Гипертекстовая ссылка"/>
    <w:uiPriority w:val="99"/>
    <w:rPr>
      <w:b/>
      <w:bCs/>
      <w:color w:val="008000"/>
      <w:sz w:val="20"/>
      <w:szCs w:val="20"/>
      <w:u w:val="single"/>
    </w:rPr>
  </w:style>
  <w:style w:type="paragraph" w:styleId="1486">
    <w:name w:val="index 1"/>
    <w:basedOn w:val="1113"/>
    <w:next w:val="1113"/>
    <w:uiPriority w:val="99"/>
    <w:semiHidden/>
    <w:pPr>
      <w:ind w:left="240" w:hanging="240"/>
    </w:pPr>
  </w:style>
  <w:style w:type="paragraph" w:styleId="1487" w:customStyle="1">
    <w:name w:val="Обычный1"/>
    <w:uiPriority w:val="99"/>
    <w:rPr>
      <w:sz w:val="24"/>
      <w:szCs w:val="24"/>
    </w:rPr>
  </w:style>
  <w:style w:type="paragraph" w:styleId="1488" w:customStyle="1">
    <w:name w:val="ConsPlusNonformat"/>
    <w:uiPriority w:val="99"/>
    <w:pPr>
      <w:widowControl w:val="off"/>
    </w:pPr>
    <w:rPr>
      <w:rFonts w:ascii="Courier New" w:hAnsi="Courier New" w:cs="Courier New"/>
    </w:rPr>
  </w:style>
  <w:style w:type="paragraph" w:styleId="1489">
    <w:name w:val="No Spacing"/>
    <w:uiPriority w:val="1"/>
    <w:qFormat/>
    <w:rPr>
      <w:sz w:val="24"/>
      <w:szCs w:val="24"/>
    </w:rPr>
  </w:style>
  <w:style w:type="paragraph" w:styleId="1490">
    <w:name w:val="endnote text"/>
    <w:basedOn w:val="1113"/>
    <w:link w:val="1491"/>
    <w:uiPriority w:val="99"/>
    <w:rPr>
      <w:sz w:val="20"/>
      <w:szCs w:val="20"/>
    </w:rPr>
  </w:style>
  <w:style w:type="character" w:styleId="1491" w:customStyle="1">
    <w:name w:val="Текст концевой сноски Знак"/>
    <w:basedOn w:val="1123"/>
    <w:link w:val="1490"/>
    <w:uiPriority w:val="99"/>
  </w:style>
  <w:style w:type="character" w:styleId="1492">
    <w:name w:val="endnote reference"/>
    <w:uiPriority w:val="99"/>
    <w:semiHidden/>
    <w:rPr>
      <w:vertAlign w:val="superscript"/>
    </w:rPr>
  </w:style>
  <w:style w:type="paragraph" w:styleId="1493" w:customStyle="1">
    <w:name w:val="Основной текст с отступом11"/>
    <w:basedOn w:val="1113"/>
    <w:uiPriority w:val="99"/>
    <w:pPr>
      <w:ind w:firstLine="851"/>
      <w:spacing w:before="60" w:after="0"/>
    </w:pPr>
  </w:style>
  <w:style w:type="character" w:styleId="1494" w:customStyle="1">
    <w:name w:val="Font Style30"/>
    <w:uiPriority w:val="99"/>
    <w:rPr>
      <w:rFonts w:ascii="Times New Roman" w:hAnsi="Times New Roman" w:cs="Times New Roman"/>
      <w:sz w:val="18"/>
      <w:szCs w:val="18"/>
    </w:rPr>
  </w:style>
  <w:style w:type="paragraph" w:styleId="1495">
    <w:name w:val="List Paragraph"/>
    <w:basedOn w:val="1113"/>
    <w:link w:val="1512"/>
    <w:uiPriority w:val="34"/>
    <w:qFormat/>
    <w:pPr>
      <w:ind w:left="720"/>
      <w:jc w:val="left"/>
      <w:spacing w:after="0"/>
    </w:pPr>
  </w:style>
  <w:style w:type="character" w:styleId="1496">
    <w:name w:val="Placeholder Text"/>
    <w:basedOn w:val="1123"/>
    <w:uiPriority w:val="99"/>
    <w:semiHidden/>
    <w:rPr>
      <w:color w:val="808080"/>
    </w:rPr>
  </w:style>
  <w:style w:type="character" w:styleId="1497" w:customStyle="1">
    <w:name w:val="f"/>
    <w:basedOn w:val="1123"/>
  </w:style>
  <w:style w:type="character" w:styleId="1498" w:customStyle="1">
    <w:name w:val="r"/>
    <w:basedOn w:val="1123"/>
  </w:style>
  <w:style w:type="paragraph" w:styleId="1499">
    <w:name w:val="Body Text 2"/>
    <w:basedOn w:val="1113"/>
    <w:link w:val="1500"/>
    <w:pPr>
      <w:spacing w:after="120" w:line="480" w:lineRule="auto"/>
    </w:pPr>
  </w:style>
  <w:style w:type="character" w:styleId="1500" w:customStyle="1">
    <w:name w:val="Основной текст 2 Знак"/>
    <w:basedOn w:val="1123"/>
    <w:link w:val="1499"/>
    <w:rPr>
      <w:sz w:val="24"/>
      <w:szCs w:val="24"/>
    </w:rPr>
  </w:style>
  <w:style w:type="table" w:styleId="1501">
    <w:name w:val="Table Grid"/>
    <w:basedOn w:val="112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502" w:customStyle="1">
    <w:name w:val="Iniiaiie oaeno"/>
    <w:basedOn w:val="1113"/>
    <w:uiPriority w:val="99"/>
    <w:pPr>
      <w:jc w:val="center"/>
      <w:spacing w:after="0"/>
    </w:pPr>
    <w:rPr>
      <w:rFonts w:ascii="Arial" w:hAnsi="Arial" w:cs="Arial"/>
    </w:rPr>
  </w:style>
  <w:style w:type="paragraph" w:styleId="1503" w:customStyle="1">
    <w:name w:val="Абзац списка1"/>
    <w:basedOn w:val="1113"/>
    <w:pPr>
      <w:contextualSpacing/>
      <w:ind w:left="720"/>
      <w:jc w:val="left"/>
      <w:spacing w:after="0"/>
    </w:pPr>
    <w:rPr>
      <w:rFonts w:ascii="Cambria" w:hAnsi="Cambria" w:eastAsia="MS Mincho"/>
    </w:rPr>
  </w:style>
  <w:style w:type="paragraph" w:styleId="1504" w:customStyle="1">
    <w:name w:val="Таблицы (моноширинный)"/>
    <w:basedOn w:val="1113"/>
    <w:next w:val="1113"/>
    <w:uiPriority w:val="99"/>
    <w:pPr>
      <w:jc w:val="left"/>
      <w:spacing w:after="0"/>
    </w:pPr>
    <w:rPr>
      <w:rFonts w:ascii="Courier New" w:hAnsi="Courier New" w:cs="Courier New" w:eastAsiaTheme="minorHAnsi"/>
      <w:lang w:eastAsia="en-US"/>
    </w:rPr>
  </w:style>
  <w:style w:type="character" w:styleId="1505" w:customStyle="1">
    <w:name w:val="Пункт Знак1"/>
    <w:link w:val="1478"/>
    <w:uiPriority w:val="99"/>
    <w:rPr>
      <w:sz w:val="24"/>
      <w:szCs w:val="24"/>
    </w:rPr>
  </w:style>
  <w:style w:type="paragraph" w:styleId="1506" w:customStyle="1">
    <w:name w:val="Подподпункт"/>
    <w:basedOn w:val="1479"/>
    <w:pPr>
      <w:ind w:left="567" w:hanging="567"/>
      <w:spacing w:line="360" w:lineRule="auto"/>
      <w:tabs>
        <w:tab w:val="num" w:pos="360" w:leader="none"/>
        <w:tab w:val="clear" w:pos="2520" w:leader="none"/>
      </w:tabs>
    </w:pPr>
    <w:rPr>
      <w:sz w:val="28"/>
      <w:szCs w:val="20"/>
    </w:rPr>
  </w:style>
  <w:style w:type="paragraph" w:styleId="1507" w:customStyle="1">
    <w:name w:val="Пункт-3"/>
    <w:basedOn w:val="1113"/>
    <w:link w:val="1508"/>
    <w:pPr>
      <w:spacing w:after="0"/>
      <w:tabs>
        <w:tab w:val="num" w:pos="1418" w:leader="none"/>
      </w:tabs>
    </w:pPr>
    <w:rPr>
      <w:sz w:val="28"/>
      <w:szCs w:val="20"/>
    </w:rPr>
  </w:style>
  <w:style w:type="character" w:styleId="1508" w:customStyle="1">
    <w:name w:val="Пункт-3 Знак"/>
    <w:link w:val="1507"/>
    <w:rPr>
      <w:sz w:val="28"/>
    </w:rPr>
  </w:style>
  <w:style w:type="character" w:styleId="1509" w:customStyle="1">
    <w:name w:val="Основной текст (3)_"/>
    <w:basedOn w:val="1123"/>
    <w:link w:val="1510"/>
    <w:rPr>
      <w:b/>
      <w:bCs/>
      <w:shd w:val="clear" w:color="auto" w:fill="ffffff"/>
    </w:rPr>
  </w:style>
  <w:style w:type="paragraph" w:styleId="1510" w:customStyle="1">
    <w:name w:val="Основной текст (3)"/>
    <w:basedOn w:val="1113"/>
    <w:link w:val="1509"/>
    <w:pPr>
      <w:ind w:firstLine="709"/>
      <w:jc w:val="center"/>
      <w:spacing w:after="0" w:line="274" w:lineRule="exact"/>
      <w:shd w:val="clear" w:color="auto" w:fill="ffffff"/>
      <w:widowControl w:val="off"/>
    </w:pPr>
    <w:rPr>
      <w:b/>
      <w:bCs/>
      <w:sz w:val="20"/>
      <w:szCs w:val="20"/>
    </w:rPr>
  </w:style>
  <w:style w:type="paragraph" w:styleId="1511" w:customStyle="1">
    <w:name w:val="Default"/>
    <w:rPr>
      <w:color w:val="000000"/>
      <w:sz w:val="24"/>
      <w:szCs w:val="24"/>
      <w:lang w:eastAsia="en-US"/>
    </w:rPr>
  </w:style>
  <w:style w:type="character" w:styleId="1512" w:customStyle="1">
    <w:name w:val="Абзац списка Знак"/>
    <w:basedOn w:val="1123"/>
    <w:link w:val="1495"/>
    <w:uiPriority w:val="34"/>
    <w:rPr>
      <w:sz w:val="24"/>
      <w:szCs w:val="24"/>
    </w:rPr>
  </w:style>
  <w:style w:type="paragraph" w:styleId="1513" w:customStyle="1">
    <w:name w:val="Пункт-4"/>
    <w:basedOn w:val="1113"/>
    <w:pPr>
      <w:ind w:left="643" w:hanging="360"/>
      <w:spacing w:after="0"/>
      <w:tabs>
        <w:tab w:val="num" w:pos="643" w:leader="none"/>
      </w:tabs>
    </w:pPr>
    <w:rPr>
      <w:sz w:val="28"/>
      <w:szCs w:val="20"/>
    </w:rPr>
  </w:style>
  <w:style w:type="character" w:styleId="1514" w:customStyle="1">
    <w:name w:val="комментарий"/>
    <w:rPr>
      <w:i/>
      <w:u w:val="none"/>
      <w:shd w:val="clear" w:color="auto" w:fill="ffff99"/>
    </w:rPr>
  </w:style>
  <w:style w:type="paragraph" w:styleId="1515">
    <w:name w:val="Revision"/>
    <w:hidden/>
    <w:uiPriority w:val="99"/>
    <w:semiHidden/>
    <w:rPr>
      <w:sz w:val="24"/>
      <w:szCs w:val="24"/>
    </w:rPr>
  </w:style>
  <w:style w:type="paragraph" w:styleId="1516" w:customStyle="1">
    <w:name w:val="Ариал"/>
    <w:basedOn w:val="1113"/>
    <w:link w:val="1517"/>
    <w:pPr>
      <w:ind w:firstLine="851"/>
      <w:spacing w:before="120" w:after="120" w:line="360" w:lineRule="auto"/>
    </w:pPr>
    <w:rPr>
      <w:rFonts w:ascii="Arial" w:hAnsi="Arial"/>
      <w:szCs w:val="20"/>
    </w:rPr>
  </w:style>
  <w:style w:type="character" w:styleId="1517" w:customStyle="1">
    <w:name w:val="Ариал Знак1"/>
    <w:link w:val="1516"/>
    <w:rPr>
      <w:rFonts w:ascii="Arial" w:hAnsi="Arial"/>
      <w:sz w:val="24"/>
    </w:rPr>
  </w:style>
  <w:style w:type="paragraph" w:styleId="1518" w:customStyle="1">
    <w:name w:val="Цитата1"/>
    <w:basedOn w:val="1113"/>
    <w:pPr>
      <w:ind w:left="34" w:right="32" w:firstLine="595"/>
      <w:spacing w:after="0" w:line="360" w:lineRule="auto"/>
      <w:shd w:val="clear" w:color="auto" w:fill="ffffff"/>
    </w:pPr>
    <w:rPr>
      <w:rFonts w:ascii="Arial" w:hAnsi="Arial"/>
      <w:color w:val="000000"/>
      <w:sz w:val="22"/>
      <w:szCs w:val="20"/>
    </w:rPr>
  </w:style>
  <w:style w:type="paragraph" w:styleId="1519" w:customStyle="1">
    <w:name w:val="Заголовок_1"/>
    <w:basedOn w:val="1113"/>
    <w:uiPriority w:val="99"/>
    <w:pPr>
      <w:numPr>
        <w:ilvl w:val="0"/>
        <w:numId w:val="11"/>
      </w:numPr>
      <w:jc w:val="center"/>
      <w:keepLines/>
      <w:keepNext/>
      <w:spacing w:before="360" w:after="120"/>
      <w:outlineLvl w:val="0"/>
    </w:pPr>
    <w:rPr>
      <w:rFonts w:ascii="Arial" w:hAnsi="Arial" w:cs="Arial"/>
      <w:b/>
      <w:bCs/>
      <w:caps/>
      <w:sz w:val="36"/>
      <w:szCs w:val="28"/>
    </w:rPr>
  </w:style>
  <w:style w:type="paragraph" w:styleId="1520" w:customStyle="1">
    <w:name w:val="Пункт_3"/>
    <w:basedOn w:val="1113"/>
    <w:uiPriority w:val="99"/>
    <w:pPr>
      <w:numPr>
        <w:ilvl w:val="2"/>
        <w:numId w:val="11"/>
      </w:numPr>
      <w:spacing w:after="0"/>
    </w:pPr>
    <w:rPr>
      <w:sz w:val="28"/>
      <w:szCs w:val="28"/>
    </w:rPr>
  </w:style>
  <w:style w:type="paragraph" w:styleId="1521" w:customStyle="1">
    <w:name w:val="Пункт_2"/>
    <w:basedOn w:val="1113"/>
    <w:uiPriority w:val="99"/>
    <w:pPr>
      <w:numPr>
        <w:ilvl w:val="1"/>
        <w:numId w:val="11"/>
      </w:numPr>
      <w:spacing w:after="0"/>
    </w:pPr>
    <w:rPr>
      <w:sz w:val="28"/>
      <w:szCs w:val="20"/>
    </w:rPr>
  </w:style>
  <w:style w:type="paragraph" w:styleId="1522" w:customStyle="1">
    <w:name w:val="Пункт_5"/>
    <w:basedOn w:val="1520"/>
    <w:uiPriority w:val="99"/>
    <w:pPr>
      <w:numPr>
        <w:ilvl w:val="4"/>
      </w:numPr>
    </w:pPr>
  </w:style>
  <w:style w:type="paragraph" w:styleId="1523">
    <w:name w:val="Caption"/>
    <w:basedOn w:val="1113"/>
    <w:next w:val="1113"/>
    <w:link w:val="1203"/>
    <w:uiPriority w:val="35"/>
    <w:unhideWhenUsed/>
    <w:qFormat/>
    <w:pPr>
      <w:jc w:val="left"/>
      <w:spacing w:after="200"/>
    </w:pPr>
    <w:rPr>
      <w:rFonts w:asciiTheme="minorHAnsi" w:hAnsiTheme="minorHAnsi"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1524" w:customStyle="1">
    <w:name w:val="Times 12"/>
    <w:basedOn w:val="1113"/>
    <w:qFormat/>
    <w:pPr>
      <w:ind w:firstLine="567"/>
      <w:spacing w:after="0"/>
    </w:pPr>
    <w:rPr>
      <w:bCs/>
      <w:szCs w:val="22"/>
    </w:rPr>
  </w:style>
  <w:style w:type="numbering" w:styleId="1525" w:customStyle="1">
    <w:name w:val="Стиль511"/>
    <w:uiPriority w:val="99"/>
    <w:pPr>
      <w:numPr>
        <w:ilvl w:val="0"/>
        <w:numId w:val="19"/>
      </w:numPr>
    </w:pPr>
  </w:style>
  <w:style w:type="paragraph" w:styleId="1526" w:customStyle="1">
    <w:name w:val="_Маркер (номер) - с заголовком"/>
    <w:basedOn w:val="1113"/>
    <w:pPr>
      <w:jc w:val="left"/>
      <w:spacing w:before="240" w:line="360" w:lineRule="auto"/>
    </w:pPr>
    <w:rPr>
      <w:b/>
      <w:bCs/>
      <w:szCs w:val="20"/>
    </w:rPr>
  </w:style>
  <w:style w:type="paragraph" w:styleId="1527" w:customStyle="1">
    <w:name w:val="подзаголовок-3"/>
    <w:basedOn w:val="1507"/>
    <w:pPr>
      <w:ind w:left="1134" w:hanging="1134"/>
      <w:keepNext/>
      <w:spacing w:before="240" w:after="120"/>
      <w:tabs>
        <w:tab w:val="num" w:pos="1134" w:leader="none"/>
        <w:tab w:val="clear" w:pos="1418" w:leader="none"/>
      </w:tabs>
      <w:outlineLvl w:val="2"/>
    </w:pPr>
    <w:rPr>
      <w:b/>
      <w:sz w:val="24"/>
      <w:szCs w:val="28"/>
    </w:rPr>
  </w:style>
  <w:style w:type="paragraph" w:styleId="1528" w:customStyle="1">
    <w:name w:val="буквы"/>
    <w:basedOn w:val="1113"/>
    <w:pPr>
      <w:numPr>
        <w:ilvl w:val="0"/>
        <w:numId w:val="15"/>
      </w:numPr>
      <w:ind w:left="1080"/>
      <w:spacing w:after="0" w:line="360" w:lineRule="auto"/>
      <w:tabs>
        <w:tab w:val="num" w:pos="564" w:leader="none"/>
        <w:tab w:val="num" w:pos="1080" w:leader="none"/>
      </w:tabs>
    </w:pPr>
    <w:rPr>
      <w:sz w:val="28"/>
      <w:szCs w:val="20"/>
    </w:rPr>
  </w:style>
  <w:style w:type="paragraph" w:styleId="1529" w:customStyle="1">
    <w:name w:val="Чертежный"/>
    <w:pPr>
      <w:jc w:val="both"/>
    </w:pPr>
    <w:rPr>
      <w:rFonts w:ascii="ISOCPEUR" w:hAnsi="ISOCPEUR"/>
      <w:i/>
      <w:sz w:val="28"/>
      <w:lang w:val="uk-UA"/>
    </w:rPr>
  </w:style>
  <w:style w:type="character" w:styleId="1530" w:customStyle="1">
    <w:name w:val="blk"/>
  </w:style>
  <w:style w:type="numbering" w:styleId="1531" w:customStyle="1">
    <w:name w:val="Стиль41"/>
    <w:uiPriority w:val="99"/>
    <w:pPr>
      <w:numPr>
        <w:ilvl w:val="0"/>
        <w:numId w:val="29"/>
      </w:numPr>
    </w:pPr>
  </w:style>
  <w:style w:type="character" w:styleId="1532" w:customStyle="1">
    <w:name w:val="Основной текст_"/>
    <w:link w:val="1533"/>
    <w:rPr>
      <w:shd w:val="clear" w:color="auto" w:fill="ffffff"/>
    </w:rPr>
  </w:style>
  <w:style w:type="paragraph" w:styleId="1533" w:customStyle="1">
    <w:name w:val="Основной текст3"/>
    <w:basedOn w:val="1113"/>
    <w:link w:val="1532"/>
    <w:pPr>
      <w:ind w:firstLine="560"/>
      <w:spacing w:after="0" w:line="274" w:lineRule="exact"/>
      <w:shd w:val="clear" w:color="auto" w:fill="ffffff"/>
      <w:widowControl w:val="off"/>
    </w:pPr>
    <w:rPr>
      <w:sz w:val="20"/>
      <w:szCs w:val="20"/>
    </w:rPr>
  </w:style>
  <w:style w:type="numbering" w:styleId="1534">
    <w:name w:val="Outline List 1"/>
    <w:basedOn w:val="1125"/>
    <w:semiHidden/>
    <w:pPr>
      <w:numPr>
        <w:ilvl w:val="0"/>
        <w:numId w:val="26"/>
      </w:numPr>
    </w:pPr>
  </w:style>
  <w:style w:type="numbering" w:styleId="1535" w:customStyle="1">
    <w:name w:val="Стиль51"/>
    <w:uiPriority w:val="99"/>
    <w:pPr>
      <w:numPr>
        <w:ilvl w:val="0"/>
        <w:numId w:val="28"/>
      </w:numPr>
    </w:pPr>
  </w:style>
  <w:style w:type="numbering" w:styleId="1536" w:customStyle="1">
    <w:name w:val="Текущий список11"/>
    <w:pPr>
      <w:numPr>
        <w:ilvl w:val="0"/>
        <w:numId w:val="27"/>
      </w:numPr>
    </w:pPr>
  </w:style>
  <w:style w:type="paragraph" w:styleId="1537" w:customStyle="1">
    <w:name w:val="xl68"/>
    <w:basedOn w:val="1113"/>
    <w:uiPriority w:val="99"/>
    <w:pPr>
      <w:jc w:val="center"/>
      <w:spacing w:before="100" w:beforeAutospacing="1" w:after="100" w:afterAutospacing="1"/>
      <w:shd w:val="clear" w:color="auto" w:fill="ffffff"/>
    </w:pPr>
    <w:rPr>
      <w:rFonts w:ascii="Arial CYR" w:hAnsi="Arial CYR" w:cs="Arial CYR"/>
      <w:b/>
      <w:bCs/>
      <w:sz w:val="28"/>
      <w:szCs w:val="28"/>
    </w:rPr>
  </w:style>
  <w:style w:type="numbering" w:styleId="1538" w:customStyle="1">
    <w:name w:val="Импортированный стиль 23"/>
    <w:pPr>
      <w:numPr>
        <w:ilvl w:val="0"/>
        <w:numId w:val="31"/>
      </w:numPr>
    </w:pPr>
  </w:style>
  <w:style w:type="paragraph" w:styleId="1539" w:customStyle="1">
    <w:name w:val="xl66"/>
    <w:basedOn w:val="1113"/>
    <w:uiPriority w:val="99"/>
    <w:pPr>
      <w:jc w:val="center"/>
      <w:spacing w:before="100" w:beforeAutospacing="1" w:after="100" w:afterAutospacing="1"/>
      <w:shd w:val="clear" w:color="auto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rFonts w:ascii="Arial CYR" w:hAnsi="Arial CYR" w:cs="Arial CYR"/>
      <w:b/>
      <w:bCs/>
    </w:rPr>
  </w:style>
  <w:style w:type="paragraph" w:styleId="1540" w:customStyle="1">
    <w:name w:val="xl53"/>
    <w:basedOn w:val="1113"/>
    <w:uiPriority w:val="99"/>
    <w:pPr>
      <w:jc w:val="center"/>
      <w:spacing w:before="100" w:beforeAutospacing="1" w:after="100" w:afterAutospacing="1"/>
    </w:pPr>
    <w:rPr>
      <w:rFonts w:ascii="Arial CYR" w:hAnsi="Arial CYR" w:cs="Arial CYR"/>
    </w:rPr>
  </w:style>
  <w:style w:type="character" w:styleId="1541" w:customStyle="1">
    <w:name w:val="Font Style38"/>
    <w:basedOn w:val="1123"/>
    <w:uiPriority w:val="99"/>
    <w:rPr>
      <w:rFonts w:ascii="Times New Roman" w:hAnsi="Times New Roman" w:cs="Times New Roman"/>
      <w:sz w:val="26"/>
      <w:szCs w:val="26"/>
    </w:rPr>
  </w:style>
  <w:style w:type="paragraph" w:styleId="1542" w:customStyle="1">
    <w:name w:val="Style26"/>
    <w:basedOn w:val="1113"/>
    <w:uiPriority w:val="99"/>
    <w:pPr>
      <w:jc w:val="left"/>
      <w:spacing w:after="0" w:line="322" w:lineRule="exact"/>
      <w:widowControl w:val="off"/>
    </w:pPr>
    <w:rPr>
      <w:rFonts w:eastAsiaTheme="minorEastAsia"/>
    </w:rPr>
  </w:style>
  <w:style w:type="paragraph" w:styleId="1543" w:customStyle="1">
    <w:name w:val="Style20"/>
    <w:basedOn w:val="1113"/>
    <w:uiPriority w:val="99"/>
    <w:pPr>
      <w:jc w:val="center"/>
      <w:spacing w:after="0" w:line="322" w:lineRule="exact"/>
      <w:widowControl w:val="off"/>
    </w:pPr>
    <w:rPr>
      <w:rFonts w:eastAsiaTheme="minorEastAsia"/>
    </w:rPr>
  </w:style>
  <w:style w:type="paragraph" w:styleId="1544" w:customStyle="1">
    <w:name w:val="Style22"/>
    <w:basedOn w:val="1113"/>
    <w:uiPriority w:val="99"/>
    <w:pPr>
      <w:jc w:val="left"/>
      <w:spacing w:after="0"/>
      <w:widowControl w:val="off"/>
    </w:pPr>
    <w:rPr>
      <w:rFonts w:eastAsiaTheme="minorEastAsia"/>
    </w:rPr>
  </w:style>
  <w:style w:type="numbering" w:styleId="1545" w:customStyle="1">
    <w:name w:val="Стиль512"/>
    <w:uiPriority w:val="99"/>
  </w:style>
  <w:style w:type="numbering" w:styleId="1546" w:customStyle="1">
    <w:name w:val="Текущий список111"/>
  </w:style>
  <w:style w:type="paragraph" w:styleId="1547" w:customStyle="1">
    <w:name w:val="xl39"/>
    <w:basedOn w:val="1113"/>
    <w:uiPriority w:val="99"/>
    <w:pPr>
      <w:jc w:val="left"/>
      <w:spacing w:before="100" w:beforeAutospacing="1" w:after="100" w:afterAutospacing="1"/>
      <w:shd w:val="clear" w:color="auto" w:fill="ffffff"/>
    </w:pPr>
    <w:rPr>
      <w:rFonts w:ascii="Arial CYR" w:hAnsi="Arial CYR" w:cs="Arial CYR"/>
    </w:rPr>
  </w:style>
  <w:style w:type="character" w:styleId="1548" w:customStyle="1">
    <w:name w:val="fontstyle01"/>
    <w:basedOn w:val="1123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paragraph" w:styleId="1549" w:customStyle="1">
    <w:name w:val="xl57"/>
    <w:basedOn w:val="1113"/>
    <w:uiPriority w:val="99"/>
    <w:pPr>
      <w:jc w:val="left"/>
      <w:spacing w:before="100" w:beforeAutospacing="1" w:after="100" w:afterAutospacing="1"/>
    </w:pPr>
    <w:rPr>
      <w:rFonts w:ascii="Arial CYR" w:hAnsi="Arial CYR" w:cs="Arial CYR"/>
    </w:rPr>
  </w:style>
  <w:style w:type="character" w:styleId="1550" w:customStyle="1">
    <w:name w:val="ConsPlusNormal Знак"/>
    <w:link w:val="1469"/>
    <w:rPr>
      <w:rFonts w:ascii="Arial" w:hAnsi="Arial" w:cs="Arial"/>
    </w:rPr>
  </w:style>
  <w:style w:type="character" w:styleId="1551" w:customStyle="1">
    <w:name w:val="Font Style90"/>
    <w:uiPriority w:val="99"/>
    <w:rPr>
      <w:rFonts w:ascii="Times New Roman" w:hAnsi="Times New Roman" w:cs="Times New Roman"/>
      <w:sz w:val="22"/>
      <w:szCs w:val="22"/>
    </w:rPr>
  </w:style>
  <w:style w:type="paragraph" w:styleId="1552" w:customStyle="1">
    <w:name w:val="АриалТабл"/>
    <w:basedOn w:val="1516"/>
    <w:pPr>
      <w:ind w:firstLine="0"/>
      <w:spacing w:before="0" w:after="0" w:line="240" w:lineRule="auto"/>
      <w:widowControl w:val="off"/>
    </w:pPr>
    <w:rPr>
      <w:rFonts w:cs="Arial"/>
      <w:szCs w:val="24"/>
    </w:rPr>
  </w:style>
  <w:style w:type="character" w:styleId="1553" w:customStyle="1">
    <w:name w:val="Ариал Таблица Знак"/>
    <w:link w:val="1554"/>
    <w:rPr>
      <w:rFonts w:ascii="Arial" w:hAnsi="Arial" w:cs="Arial"/>
      <w:sz w:val="24"/>
    </w:rPr>
  </w:style>
  <w:style w:type="paragraph" w:styleId="1554" w:customStyle="1">
    <w:name w:val="Ариал Таблица"/>
    <w:basedOn w:val="1516"/>
    <w:link w:val="1553"/>
    <w:pPr>
      <w:ind w:firstLine="0"/>
      <w:spacing w:before="0" w:after="0" w:line="240" w:lineRule="auto"/>
      <w:widowControl w:val="off"/>
    </w:pPr>
    <w:rPr>
      <w:rFonts w:cs="Arial"/>
    </w:rPr>
  </w:style>
  <w:style w:type="paragraph" w:styleId="1555" w:customStyle="1">
    <w:name w:val="Ариал таблица"/>
    <w:basedOn w:val="1113"/>
    <w:pPr>
      <w:jc w:val="left"/>
      <w:spacing w:after="0" w:line="240" w:lineRule="atLeast"/>
      <w:tabs>
        <w:tab w:val="num" w:pos="360" w:leader="none"/>
      </w:tabs>
    </w:pPr>
    <w:rPr>
      <w:rFonts w:ascii="Arial" w:hAnsi="Arial"/>
    </w:rPr>
  </w:style>
  <w:style w:type="character" w:styleId="1556" w:customStyle="1">
    <w:name w:val="Font Style25"/>
    <w:uiPriority w:val="99"/>
    <w:rPr>
      <w:rFonts w:ascii="Times New Roman" w:hAnsi="Times New Roman" w:cs="Times New Roman"/>
      <w:sz w:val="22"/>
      <w:szCs w:val="22"/>
    </w:rPr>
  </w:style>
  <w:style w:type="character" w:styleId="1557" w:customStyle="1">
    <w:name w:val="Font Style19"/>
    <w:uiPriority w:val="99"/>
    <w:rPr>
      <w:rFonts w:ascii="Times New Roman" w:hAnsi="Times New Roman" w:cs="Times New Roman"/>
      <w:i/>
      <w:iCs/>
      <w:spacing w:val="20"/>
      <w:sz w:val="22"/>
      <w:szCs w:val="22"/>
    </w:rPr>
  </w:style>
  <w:style w:type="paragraph" w:styleId="1558" w:customStyle="1">
    <w:name w:val="Style10"/>
    <w:basedOn w:val="1113"/>
    <w:uiPriority w:val="99"/>
    <w:pPr>
      <w:jc w:val="left"/>
      <w:spacing w:after="0" w:line="281" w:lineRule="exact"/>
      <w:widowControl w:val="off"/>
    </w:pPr>
  </w:style>
  <w:style w:type="character" w:styleId="1559" w:customStyle="1">
    <w:name w:val="Font Style27"/>
    <w:uiPriority w:val="99"/>
    <w:rPr>
      <w:rFonts w:ascii="Franklin Gothic Demi Cond" w:hAnsi="Franklin Gothic Demi Cond" w:cs="Franklin Gothic Demi Cond"/>
      <w:b/>
      <w:bCs/>
      <w:sz w:val="30"/>
      <w:szCs w:val="30"/>
    </w:rPr>
  </w:style>
  <w:style w:type="numbering" w:styleId="1560" w:customStyle="1">
    <w:name w:val="Стиль513"/>
    <w:uiPriority w:val="99"/>
  </w:style>
  <w:style w:type="numbering" w:styleId="1561" w:customStyle="1">
    <w:name w:val="Текущий список112"/>
  </w:style>
  <w:style w:type="paragraph" w:styleId="1562" w:customStyle="1">
    <w:name w:val="Стиль начало"/>
    <w:basedOn w:val="1113"/>
    <w:uiPriority w:val="99"/>
    <w:pPr>
      <w:jc w:val="left"/>
      <w:spacing w:after="0" w:line="264" w:lineRule="auto"/>
      <w:widowControl w:val="off"/>
    </w:pPr>
    <w:rPr>
      <w:sz w:val="28"/>
      <w:szCs w:val="28"/>
    </w:rPr>
  </w:style>
  <w:style w:type="paragraph" w:styleId="1563" w:customStyle="1">
    <w:name w:val="Style11"/>
    <w:basedOn w:val="1113"/>
    <w:uiPriority w:val="99"/>
    <w:pPr>
      <w:jc w:val="left"/>
      <w:spacing w:after="0"/>
      <w:widowControl w:val="off"/>
    </w:pPr>
  </w:style>
  <w:style w:type="character" w:styleId="1564" w:customStyle="1">
    <w:name w:val="Font Style21"/>
    <w:basedOn w:val="1123"/>
    <w:uiPriority w:val="99"/>
    <w:rPr>
      <w:rFonts w:hint="default" w:ascii="Times New Roman" w:hAnsi="Times New Roman" w:cs="Times New Roman"/>
      <w:b/>
      <w:bCs/>
      <w:sz w:val="22"/>
      <w:szCs w:val="22"/>
    </w:rPr>
  </w:style>
  <w:style w:type="paragraph" w:styleId="1565" w:customStyle="1">
    <w:name w:val="gmail-msotitle"/>
    <w:basedOn w:val="1113"/>
    <w:uiPriority w:val="99"/>
    <w:semiHidden/>
    <w:pPr>
      <w:jc w:val="left"/>
      <w:spacing w:before="100" w:beforeAutospacing="1" w:after="100" w:afterAutospacing="1"/>
    </w:pPr>
    <w:rPr>
      <w:rFonts w:eastAsiaTheme="minorHAnsi"/>
    </w:rPr>
  </w:style>
  <w:style w:type="character" w:styleId="1566" w:customStyle="1">
    <w:name w:val="Font Style23"/>
    <w:basedOn w:val="1123"/>
    <w:uiPriority w:val="99"/>
    <w:rPr>
      <w:rFonts w:ascii="Times New Roman" w:hAnsi="Times New Roman" w:cs="Times New Roman"/>
      <w:sz w:val="22"/>
      <w:szCs w:val="22"/>
    </w:rPr>
  </w:style>
  <w:style w:type="paragraph" w:styleId="1567" w:customStyle="1">
    <w:name w:val="Гиперссылка1"/>
    <w:basedOn w:val="1113"/>
    <w:link w:val="1402"/>
    <w:uiPriority w:val="99"/>
    <w:pPr>
      <w:jc w:val="left"/>
      <w:spacing w:after="0"/>
    </w:pPr>
    <w:rPr>
      <w:color w:val="0000ff"/>
      <w:sz w:val="20"/>
      <w:szCs w:val="20"/>
      <w:u w:val="single"/>
    </w:rPr>
  </w:style>
  <w:style w:type="paragraph" w:styleId="1568" w:customStyle="1">
    <w:name w:val="ТабОЛ1"/>
    <w:basedOn w:val="1113"/>
    <w:qFormat/>
    <w:pPr>
      <w:jc w:val="left"/>
      <w:keepLines/>
      <w:spacing w:before="60"/>
      <w:tabs>
        <w:tab w:val="left" w:pos="425" w:leader="none"/>
      </w:tabs>
    </w:pPr>
    <w:rPr>
      <w:rFonts w:eastAsia="Tahoma" w:cs="Noto Sans Devanagari"/>
      <w:color w:val="000000"/>
      <w:szCs w:val="20"/>
      <w:lang w:eastAsia="zh-CN" w:bidi="hi-IN"/>
    </w:rPr>
  </w:style>
  <w:style w:type="paragraph" w:styleId="1569" w:customStyle="1">
    <w:name w:val="ТабЗЦ1"/>
    <w:basedOn w:val="1568"/>
    <w:qFormat/>
    <w:pPr>
      <w:jc w:val="center"/>
      <w:keepNext/>
      <w:spacing w:before="0"/>
    </w:pPr>
    <w:rPr>
      <w:b/>
    </w:rPr>
  </w:style>
  <w:style w:type="paragraph" w:styleId="1570" w:customStyle="1">
    <w:name w:val="Абзац списка;ПАРАГРАФ;Абзац списка2;Subtle Emphasis;Нумерованый список;List Paragraph1;head 5;Светлая сетка - Акцент 31;Нумерованный спиков;Абзац маркированнный;1;UL;1. Абзац списка;Table-Normal;RSHB_Table-Normal;Предусловия;Маркер;List Paragraph;назван"/>
    <w:basedOn w:val="1113"/>
    <w:uiPriority w:val="34"/>
    <w:qFormat/>
    <w:pPr>
      <w:ind w:left="720"/>
      <w:jc w:val="left"/>
      <w:spacing w:after="0" w:line="259" w:lineRule="auto"/>
    </w:pPr>
  </w:style>
  <w:style w:type="character" w:styleId="1571" w:customStyle="1">
    <w:name w:val="Текст сноски Знак1"/>
    <w:uiPriority w:val="99"/>
    <w:rPr>
      <w:sz w:val="18"/>
    </w:rPr>
  </w:style>
  <w:style w:type="character" w:styleId="1572" w:customStyle="1">
    <w:name w:val="Нет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customXml" Target="../customXml/item1.xml" /><Relationship Id="rId18" Type="http://schemas.openxmlformats.org/officeDocument/2006/relationships/hyperlink" Target="https://www.rosseti.ru/sustainable-development/sustainable-development-documents/" TargetMode="External"/><Relationship Id="rId19" Type="http://schemas.openxmlformats.org/officeDocument/2006/relationships/hyperlink" Target="https://internet.garant.ru/" TargetMode="External"/><Relationship Id="rId20" Type="http://schemas.openxmlformats.org/officeDocument/2006/relationships/hyperlink" Target="http://www.cbr.ru/credit/" TargetMode="External"/><Relationship Id="rId21" Type="http://schemas.openxmlformats.org/officeDocument/2006/relationships/hyperlink" Target="mailto:info@rosseti-zakupki.ru" TargetMode="External"/><Relationship Id="rId22" Type="http://schemas.openxmlformats.org/officeDocument/2006/relationships/hyperlink" Target="https://internet.garant.ru/" TargetMode="External"/><Relationship Id="rId23" Type="http://schemas.openxmlformats.org/officeDocument/2006/relationships/hyperlink" Target="http://www.zakupk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www.asv.org.ru/guide/bank/" TargetMode="External"/><Relationship Id="rId2" Type="http://schemas.openxmlformats.org/officeDocument/2006/relationships/hyperlink" Target="http://www.asv.org.ru/guide/bank/" TargetMode="External"/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1A9BB-1D73-46FA-8F65-8560AB60E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Институт госзакупок РАГС</Company>
  <DocSecurity>0</DocSecurity>
  <HyperlinksChanged>false</HyperlinksChanged>
  <LinksUpToDate>false</LinksUpToDate>
  <Manager>Храмкин А.А.</Manager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конкурсная документация</dc:title>
  <dc:creator>Институт госзакупок</dc:creator>
  <cp:lastModifiedBy>Kirillova</cp:lastModifiedBy>
  <cp:revision>11</cp:revision>
  <dcterms:created xsi:type="dcterms:W3CDTF">2026-10-06T09:16:00Z</dcterms:created>
  <dcterms:modified xsi:type="dcterms:W3CDTF">2026-10-16T13:28:22Z</dcterms:modified>
</cp:coreProperties>
</file>