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6.xml" ContentType="application/vnd.openxmlformats-officedocument.wordprocessingml.footer+xml"/>
  <Override PartName="/word/footer24.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9.xml" ContentType="application/vnd.openxmlformats-officedocument.wordprocessingml.footer+xml"/>
  <Override PartName="/word/footer10.xml" ContentType="application/vnd.openxmlformats-officedocument.wordprocessingml.footer+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3.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22.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footer9.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25.xml" ContentType="application/vnd.openxmlformats-officedocument.wordprocessingml.footer+xml"/>
  <Override PartName="/word/footnotes.xml" ContentType="application/vnd.openxmlformats-officedocument.wordprocessingml.footnotes+xml"/>
  <Override PartName="/customXml/itemProps1.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6237"/>
        <w:jc w:val="left"/>
        <w:spacing w:line="264" w:lineRule="auto"/>
        <w:rPr>
          <w:bCs/>
        </w:rPr>
      </w:pPr>
      <w:r>
        <w:rPr>
          <w:bCs/>
        </w:rPr>
      </w:r>
      <w:r>
        <w:rPr>
          <w:bCs/>
        </w:rPr>
      </w:r>
    </w:p>
    <w:p>
      <w:pPr>
        <w:ind w:left="6237"/>
        <w:jc w:val="left"/>
        <w:spacing w:line="264" w:lineRule="auto"/>
        <w:rPr>
          <w:b/>
          <w:bCs/>
        </w:rPr>
      </w:pPr>
      <w:r>
        <w:rPr>
          <w:b/>
          <w:bCs/>
        </w:rPr>
      </w:r>
      <w:r>
        <w:rPr>
          <w:b/>
          <w:bCs/>
        </w:rPr>
      </w:r>
    </w:p>
    <w:p>
      <w:pPr>
        <w:ind w:left="3424" w:hanging="11"/>
        <w:jc w:val="center"/>
      </w:pPr>
      <w:r/>
      <w:r/>
    </w:p>
    <w:p>
      <w:pPr>
        <w:pStyle w:val="1117"/>
      </w:pPr>
      <w:r/>
      <w:r/>
    </w:p>
    <w:p>
      <w:pPr>
        <w:ind w:left="3424" w:hanging="11"/>
        <w:jc w:val="center"/>
      </w:pPr>
      <w:r/>
      <w:r/>
    </w:p>
    <w:p>
      <w:pPr>
        <w:ind w:left="3424" w:hanging="11"/>
        <w:jc w:val="center"/>
      </w:pPr>
      <w:r/>
      <w:r/>
    </w:p>
    <w:p>
      <w:pPr>
        <w:pStyle w:val="1364"/>
        <w:ind w:left="6237" w:right="0" w:firstLine="0"/>
        <w:jc w:val="left"/>
        <w:spacing w:line="264" w:lineRule="auto"/>
        <w:shd w:val="clear" w:color="auto" w:fill="auto"/>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 xml:space="preserve">Утверждена</w:t>
      </w:r>
      <w:r>
        <w:rPr>
          <w:rFonts w:ascii="Times New Roman" w:hAnsi="Times New Roman"/>
          <w:b/>
          <w:bCs/>
          <w:iCs/>
          <w:color w:val="auto"/>
          <w:sz w:val="24"/>
          <w:szCs w:val="24"/>
          <w:lang w:eastAsia="ar-SA"/>
        </w:rPr>
        <w:t xml:space="preserve"> на заседании </w:t>
      </w:r>
      <w:r>
        <w:rPr>
          <w:rFonts w:ascii="Times New Roman" w:hAnsi="Times New Roman"/>
          <w:b/>
          <w:bCs/>
          <w:iCs/>
          <w:color w:val="auto"/>
          <w:sz w:val="24"/>
          <w:szCs w:val="24"/>
          <w:lang w:eastAsia="ar-SA"/>
        </w:rPr>
      </w:r>
    </w:p>
    <w:p>
      <w:pPr>
        <w:pStyle w:val="1364"/>
        <w:ind w:left="6237" w:right="0" w:firstLine="0"/>
        <w:jc w:val="left"/>
        <w:spacing w:line="264" w:lineRule="auto"/>
        <w:shd w:val="clear" w:color="auto" w:fill="auto"/>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 xml:space="preserve">Закупочной комиссии </w:t>
      </w:r>
      <w:r>
        <w:rPr>
          <w:rFonts w:ascii="Times New Roman" w:hAnsi="Times New Roman"/>
          <w:b/>
          <w:bCs/>
          <w:iCs/>
          <w:color w:val="auto"/>
          <w:sz w:val="24"/>
          <w:szCs w:val="24"/>
          <w:lang w:eastAsia="ar-SA"/>
        </w:rPr>
      </w:r>
    </w:p>
    <w:p>
      <w:pPr>
        <w:ind w:left="6237"/>
        <w:jc w:val="left"/>
        <w:spacing w:line="264" w:lineRule="auto"/>
        <w:rPr>
          <w:b/>
          <w:bCs/>
        </w:rPr>
      </w:pPr>
      <w:r>
        <w:rPr>
          <w:b/>
          <w:bCs/>
        </w:rPr>
      </w:r>
      <w:r>
        <w:rPr>
          <w:b/>
          <w:bCs/>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pStyle w:val="1363"/>
        <w:ind w:firstLine="0"/>
        <w:jc w:val="center"/>
        <w:spacing w:line="264" w:lineRule="auto"/>
        <w:rPr>
          <w:rFonts w:ascii="Times New Roman" w:hAnsi="Times New Roman"/>
          <w:b/>
          <w:szCs w:val="24"/>
        </w:rPr>
      </w:pPr>
      <w:r>
        <w:rPr>
          <w:rFonts w:ascii="Times New Roman" w:hAnsi="Times New Roman"/>
          <w:b/>
          <w:szCs w:val="24"/>
        </w:rPr>
      </w:r>
      <w:r>
        <w:rPr>
          <w:rFonts w:ascii="Times New Roman" w:hAnsi="Times New Roman"/>
          <w:b/>
          <w:szCs w:val="24"/>
        </w:rPr>
      </w:r>
    </w:p>
    <w:p>
      <w:pPr>
        <w:jc w:val="center"/>
        <w:spacing w:line="264" w:lineRule="auto"/>
        <w:rPr>
          <w:b/>
        </w:rPr>
      </w:pPr>
      <w:r>
        <w:rPr>
          <w:b/>
        </w:rPr>
      </w:r>
      <w:r>
        <w:rPr>
          <w:b/>
        </w:rPr>
      </w:r>
    </w:p>
    <w:p>
      <w:pPr>
        <w:pStyle w:val="1364"/>
        <w:ind w:left="0" w:right="0" w:firstLine="0"/>
        <w:jc w:val="center"/>
        <w:spacing w:line="264" w:lineRule="auto"/>
        <w:shd w:val="clear" w:color="auto" w:fill="auto"/>
        <w:rPr>
          <w:rFonts w:ascii="Times New Roman" w:hAnsi="Times New Roman"/>
          <w:b/>
          <w:bCs/>
          <w:iCs/>
          <w:color w:val="auto"/>
          <w:sz w:val="24"/>
          <w:szCs w:val="24"/>
          <w:lang w:eastAsia="ar-SA"/>
        </w:rPr>
      </w:pPr>
      <w:r>
        <w:rPr>
          <w:rFonts w:ascii="Times New Roman" w:hAnsi="Times New Roman"/>
          <w:b/>
          <w:bCs/>
          <w:iCs/>
          <w:color w:val="auto"/>
          <w:sz w:val="24"/>
          <w:szCs w:val="24"/>
          <w:lang w:eastAsia="ar-SA"/>
        </w:rPr>
        <w:t xml:space="preserve">ДОКУМЕНТАЦИЯ О ЗАКУПКЕ</w:t>
      </w:r>
      <w:r>
        <w:rPr>
          <w:rFonts w:ascii="Times New Roman" w:hAnsi="Times New Roman"/>
          <w:b/>
          <w:bCs/>
          <w:iCs/>
          <w:color w:val="auto"/>
          <w:sz w:val="24"/>
          <w:szCs w:val="24"/>
          <w:lang w:eastAsia="ar-SA"/>
        </w:rPr>
      </w:r>
    </w:p>
    <w:p>
      <w:pPr>
        <w:rPr>
          <w:b/>
          <w:bCs/>
        </w:rPr>
      </w:pPr>
      <w:r>
        <w:rPr>
          <w:b/>
          <w:bCs/>
        </w:rPr>
      </w:r>
      <w:r>
        <w:rPr>
          <w:b/>
          <w:bCs/>
        </w:rPr>
      </w:r>
    </w:p>
    <w:p>
      <w:pPr>
        <w:tabs>
          <w:tab w:val="center" w:pos="4677" w:leader="none"/>
          <w:tab w:val="left" w:pos="7065" w:leader="none"/>
          <w:tab w:val="right" w:pos="9355" w:leader="none"/>
        </w:tabs>
        <w:rPr>
          <w:b/>
          <w:bCs/>
        </w:rPr>
      </w:pPr>
      <w:r>
        <w:rPr>
          <w:b/>
          <w:bCs/>
        </w:rPr>
        <w:t xml:space="preserve">Конкурс в электронной форме на право заключения договора </w:t>
      </w:r>
      <w:r>
        <w:rPr>
          <w:b/>
          <w:bCs/>
        </w:rPr>
        <w:t xml:space="preserve">на</w:t>
      </w:r>
      <w:r>
        <w:rPr>
          <w:b/>
          <w:bCs/>
        </w:rPr>
        <w:t xml:space="preserve"> </w:t>
      </w:r>
      <w:r>
        <w:rPr>
          <w:b/>
          <w:bCs/>
        </w:rPr>
        <w:t xml:space="preserve">услуг</w:t>
      </w:r>
      <w:r>
        <w:rPr>
          <w:b/>
          <w:bCs/>
        </w:rPr>
        <w:t xml:space="preserve">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w:t>
      </w:r>
      <w:r>
        <w:rPr>
          <w:b/>
          <w:bCs/>
        </w:rPr>
        <w:t xml:space="preserve">АСУИИиК</w:t>
      </w:r>
      <w:r>
        <w:rPr>
          <w:b/>
          <w:bCs/>
        </w:rPr>
        <w:t xml:space="preserve">)</w:t>
      </w:r>
      <w:r>
        <w:rPr>
          <w:b/>
          <w:bCs/>
        </w:rPr>
      </w:r>
    </w:p>
    <w:p>
      <w:pPr>
        <w:jc w:val="center"/>
        <w:spacing w:line="264" w:lineRule="auto"/>
        <w:rPr>
          <w:b/>
          <w:bCs/>
        </w:rPr>
      </w:pPr>
      <w:r>
        <w:rPr>
          <w:b/>
          <w:bCs/>
        </w:rPr>
      </w:r>
      <w:r>
        <w:rPr>
          <w:b/>
          <w:bCs/>
        </w:rPr>
      </w:r>
    </w:p>
    <w:p>
      <w:pPr>
        <w:spacing w:line="264" w:lineRule="auto"/>
        <w:rPr>
          <w:bCs/>
        </w:rPr>
      </w:pPr>
      <w:r>
        <w:rPr>
          <w:bCs/>
        </w:rPr>
        <w:br/>
      </w:r>
      <w:r>
        <w:rPr>
          <w:bCs/>
        </w:rPr>
      </w:r>
    </w:p>
    <w:p>
      <w:pPr>
        <w:spacing w:line="264" w:lineRule="auto"/>
        <w:rPr>
          <w:bCs/>
        </w:rPr>
      </w:pPr>
      <w:r>
        <w:rPr>
          <w:bCs/>
        </w:rPr>
      </w:r>
      <w:r>
        <w:rPr>
          <w:bCs/>
        </w:rPr>
      </w:r>
    </w:p>
    <w:p>
      <w:pPr>
        <w:spacing w:line="264" w:lineRule="auto"/>
        <w:rPr>
          <w:bCs/>
        </w:rPr>
      </w:pPr>
      <w:r>
        <w:rPr>
          <w:bCs/>
        </w:rPr>
      </w:r>
      <w:r>
        <w:rPr>
          <w:bCs/>
        </w:rPr>
      </w:r>
    </w:p>
    <w:p>
      <w:pPr>
        <w:spacing w:line="264" w:lineRule="auto"/>
        <w:rPr>
          <w:bCs/>
        </w:rPr>
      </w:pPr>
      <w:r>
        <w:rPr>
          <w:bCs/>
        </w:rPr>
      </w:r>
      <w:r>
        <w:rPr>
          <w:bCs/>
        </w:rPr>
      </w:r>
    </w:p>
    <w:p>
      <w:pPr>
        <w:spacing w:line="264" w:lineRule="auto"/>
        <w:rPr>
          <w:bCs/>
        </w:rPr>
      </w:pPr>
      <w:r>
        <w:rPr>
          <w:bCs/>
        </w:rPr>
      </w:r>
      <w:r>
        <w:rPr>
          <w:bCs/>
        </w:rPr>
      </w:r>
    </w:p>
    <w:p>
      <w:pPr>
        <w:spacing w:line="264" w:lineRule="auto"/>
        <w:rPr>
          <w:bCs/>
        </w:rPr>
      </w:pPr>
      <w:r>
        <w:rPr>
          <w:bCs/>
        </w:rPr>
      </w:r>
      <w:r>
        <w:rPr>
          <w:bCs/>
        </w:rPr>
      </w:r>
    </w:p>
    <w:p>
      <w:pPr>
        <w:spacing w:line="264" w:lineRule="auto"/>
        <w:rPr>
          <w:bCs/>
        </w:rPr>
      </w:pPr>
      <w:r>
        <w:rPr>
          <w:bCs/>
        </w:rPr>
      </w:r>
      <w:r>
        <w:rPr>
          <w:bCs/>
        </w:rPr>
      </w:r>
    </w:p>
    <w:p>
      <w:pPr>
        <w:spacing w:line="264" w:lineRule="auto"/>
        <w:rPr>
          <w:bCs/>
        </w:rPr>
      </w:pPr>
      <w:r>
        <w:rPr>
          <w:bCs/>
        </w:rPr>
      </w:r>
      <w:r>
        <w:rPr>
          <w:bCs/>
        </w:rPr>
      </w:r>
    </w:p>
    <w:p>
      <w:pPr>
        <w:jc w:val="center"/>
        <w:spacing w:line="264" w:lineRule="auto"/>
        <w:rPr>
          <w:bCs/>
        </w:rPr>
      </w:pPr>
      <w:r>
        <w:rPr>
          <w:b/>
          <w:bCs/>
        </w:rPr>
        <w:t xml:space="preserve">УЧАСТНИКАМИ ЗАКУПКИ МОГУТ БЫТЬ ТОЛЬКО СУБЪЕКТЫ МАЛОГО И СРЕДНЕГО ПРЕДПРИНИМАТЕЛЬСТВА</w:t>
      </w:r>
      <w:r>
        <w:rPr>
          <w:bCs/>
        </w:rPr>
      </w:r>
    </w:p>
    <w:p>
      <w:pPr>
        <w:spacing w:line="264" w:lineRule="auto"/>
        <w:rPr>
          <w:bCs/>
        </w:rPr>
      </w:pPr>
      <w:r>
        <w:rPr>
          <w:bCs/>
        </w:rPr>
      </w:r>
      <w:r>
        <w:rPr>
          <w:bCs/>
        </w:rPr>
      </w:r>
    </w:p>
    <w:p>
      <w:pPr>
        <w:spacing w:line="264" w:lineRule="auto"/>
        <w:rPr>
          <w:bCs/>
        </w:rPr>
      </w:pPr>
      <w:r>
        <w:rPr>
          <w:bCs/>
        </w:rPr>
      </w:r>
      <w:r>
        <w:rPr>
          <w:bCs/>
        </w:rPr>
      </w:r>
    </w:p>
    <w:p>
      <w:pPr>
        <w:jc w:val="center"/>
        <w:spacing w:line="264" w:lineRule="auto"/>
        <w:rPr>
          <w:b/>
          <w:bCs/>
        </w:rPr>
      </w:pPr>
      <w:r>
        <w:rPr>
          <w:b/>
          <w:bCs/>
        </w:rPr>
      </w:r>
      <w:r>
        <w:rPr>
          <w:b/>
          <w:bCs/>
        </w:rPr>
      </w:r>
    </w:p>
    <w:p>
      <w:pPr>
        <w:jc w:val="center"/>
        <w:spacing w:line="264" w:lineRule="auto"/>
        <w:rPr>
          <w:b/>
          <w:bCs/>
        </w:rPr>
      </w:pPr>
      <w:r>
        <w:rPr>
          <w:b/>
          <w:bCs/>
        </w:rPr>
      </w:r>
      <w:r>
        <w:rPr>
          <w:b/>
          <w:bCs/>
        </w:rPr>
      </w:r>
    </w:p>
    <w:p>
      <w:pPr>
        <w:jc w:val="center"/>
        <w:spacing w:line="264" w:lineRule="auto"/>
        <w:rPr>
          <w:b/>
          <w:bCs/>
        </w:rPr>
      </w:pPr>
      <w:r>
        <w:rPr>
          <w:b/>
          <w:bCs/>
        </w:rPr>
        <w:t xml:space="preserve">г. </w:t>
      </w:r>
      <w:r>
        <w:rPr>
          <w:b/>
        </w:rPr>
        <w:t xml:space="preserve">Москва, </w:t>
      </w:r>
      <w:r>
        <w:rPr>
          <w:b/>
          <w:bCs/>
        </w:rPr>
        <w:t xml:space="preserve">2026 год</w:t>
      </w:r>
      <w:r>
        <w:rPr>
          <w:b/>
          <w:bCs/>
        </w:rPr>
      </w:r>
    </w:p>
    <w:p>
      <w:pPr>
        <w:jc w:val="center"/>
        <w:spacing w:line="264" w:lineRule="auto"/>
        <w:rPr>
          <w:b/>
          <w:bCs/>
        </w:rPr>
      </w:pPr>
      <w:r>
        <w:rPr>
          <w:b/>
          <w:bCs/>
        </w:rPr>
      </w:r>
      <w:r>
        <w:rPr>
          <w:b/>
          <w:bCs/>
        </w:rPr>
      </w:r>
    </w:p>
    <w:p>
      <w:pPr>
        <w:jc w:val="center"/>
        <w:spacing w:line="264" w:lineRule="auto"/>
        <w:rPr>
          <w:b/>
          <w:bCs/>
        </w:rPr>
      </w:pPr>
      <w:r>
        <w:rPr>
          <w:b/>
          <w:bCs/>
        </w:rPr>
      </w:r>
      <w:r>
        <w:rPr>
          <w:b/>
          <w:bCs/>
        </w:rPr>
      </w:r>
    </w:p>
    <w:p>
      <w:pPr>
        <w:sectPr>
          <w:footerReference w:type="default" r:id="rId9"/>
          <w:footerReference w:type="even" r:id="rId10"/>
          <w:footerReference w:type="first" r:id="rId11"/>
          <w:footnotePr/>
          <w:endnotePr/>
          <w:type w:val="nextPage"/>
          <w:pgSz w:w="11906" w:h="16838" w:orient="portrait"/>
          <w:pgMar w:top="1134" w:right="850" w:bottom="1134" w:left="1701" w:header="0" w:footer="283" w:gutter="0"/>
          <w:cols w:num="1" w:sep="0" w:space="720" w:equalWidth="1"/>
          <w:docGrid w:linePitch="360"/>
          <w:titlePg/>
        </w:sectPr>
      </w:pPr>
      <w:r/>
      <w:r/>
    </w:p>
    <w:p>
      <w:pPr>
        <w:pStyle w:val="1116"/>
        <w:ind w:left="567" w:firstLine="0"/>
        <w:keepNext w:val="0"/>
        <w:spacing w:before="0" w:after="0"/>
        <w:tabs>
          <w:tab w:val="clear" w:pos="432" w:leader="none"/>
        </w:tabs>
        <w:rPr>
          <w:rStyle w:val="1206"/>
          <w:caps/>
          <w:sz w:val="22"/>
          <w:szCs w:val="22"/>
        </w:rPr>
      </w:pPr>
      <w:r/>
      <w:bookmarkStart w:id="0" w:name="_Toc224649951"/>
      <w:r/>
      <w:bookmarkStart w:id="1" w:name="_Toc236307182"/>
      <w:r>
        <w:rPr>
          <w:rStyle w:val="1206"/>
          <w:caps/>
          <w:sz w:val="22"/>
          <w:szCs w:val="22"/>
        </w:rPr>
        <w:t xml:space="preserve">СОДЕРЖАНИЕ</w:t>
      </w:r>
      <w:bookmarkEnd w:id="0"/>
      <w:r/>
      <w:bookmarkEnd w:id="1"/>
      <w:r/>
      <w:r>
        <w:rPr>
          <w:rStyle w:val="1206"/>
          <w:caps/>
          <w:sz w:val="22"/>
          <w:szCs w:val="22"/>
        </w:rPr>
      </w:r>
    </w:p>
    <w:p>
      <w:pPr>
        <w:ind w:firstLine="567"/>
        <w:jc w:val="left"/>
        <w:keepLines/>
        <w:keepNext/>
        <w:spacing w:after="0"/>
        <w:widowControl w:val="off"/>
        <w:rPr>
          <w:sz w:val="22"/>
          <w:szCs w:val="22"/>
        </w:rPr>
        <w:suppressLineNumbers/>
      </w:pPr>
      <w:r>
        <w:rPr>
          <w:sz w:val="22"/>
          <w:szCs w:val="22"/>
        </w:rPr>
      </w:r>
      <w:r>
        <w:rPr>
          <w:sz w:val="22"/>
          <w:szCs w:val="22"/>
        </w:rPr>
      </w:r>
    </w:p>
    <w:sdt>
      <w:sdtPr>
        <w15:appearance w15:val="boundingBox"/>
        <w:id w:val="1930927728"/>
        <w:docPartObj>
          <w:docPartGallery w:val="Table of Contents"/>
          <w:docPartUnique w:val="true"/>
        </w:docPartObj>
        <w:rPr/>
      </w:sdtPr>
      <w:sdtContent>
        <w:p>
          <w:pPr>
            <w:pStyle w:val="1274"/>
            <w:tabs>
              <w:tab w:val="right" w:pos="9345" w:leader="dot"/>
            </w:tabs>
            <w:rPr>
              <w:rFonts w:asciiTheme="minorHAnsi" w:hAnsiTheme="minorHAnsi" w:eastAsiaTheme="minorEastAsia" w:cstheme="minorBidi"/>
              <w:b w:val="0"/>
              <w:bCs w:val="0"/>
              <w:caps w:val="0"/>
              <w:sz w:val="22"/>
              <w:szCs w:val="22"/>
            </w:rPr>
          </w:pPr>
          <w:r>
            <w:fldChar w:fldCharType="begin"/>
          </w:r>
          <w:r>
            <w:rPr>
              <w:rStyle w:val="1238"/>
            </w:rPr>
            <w:instrText xml:space="preserve"> TOC \z \o "1-2" \u \h</w:instrText>
          </w:r>
          <w:r>
            <w:rPr>
              <w:rStyle w:val="1238"/>
            </w:rPr>
            <w:fldChar w:fldCharType="separate"/>
          </w:r>
          <w:hyperlink w:tooltip="#_Toc236307182" w:anchor="_Toc236307182" w:history="1">
            <w:r>
              <w:rPr>
                <w:rStyle w:val="1238"/>
              </w:rPr>
              <w:t xml:space="preserve">СОДЕРЖАНИЕ</w:t>
            </w:r>
            <w:r>
              <w:fldChar w:fldCharType="begin"/>
            </w:r>
            <w:r>
              <w:instrText xml:space="preserve">PAGEREF _Toc236307182 \h</w:instrText>
            </w:r>
            <w:r/>
            <w:r>
              <w:fldChar w:fldCharType="separate"/>
            </w:r>
            <w:r>
              <w:rPr>
                <w:rStyle w:val="1238"/>
              </w:rPr>
              <w:tab/>
              <w:t xml:space="preserve">2</w:t>
            </w:r>
            <w:r>
              <w:fldChar w:fldCharType="end"/>
            </w:r>
          </w:hyperlink>
          <w:r/>
          <w:r>
            <w:rPr>
              <w:rFonts w:asciiTheme="minorHAnsi" w:hAnsiTheme="minorHAnsi" w:eastAsiaTheme="minorEastAsia" w:cstheme="minorBidi"/>
              <w:b w:val="0"/>
              <w:bCs w:val="0"/>
              <w: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183" w:anchor="_Toc236307183" w:history="1">
            <w:r>
              <w:rPr>
                <w:rStyle w:val="1238"/>
              </w:rPr>
              <w:t xml:space="preserve">1.</w:t>
            </w:r>
            <w:r>
              <w:rPr>
                <w:rStyle w:val="1238"/>
                <w:rFonts w:asciiTheme="minorHAnsi" w:hAnsiTheme="minorHAnsi" w:eastAsiaTheme="minorEastAsia" w:cstheme="minorBidi"/>
                <w:b w:val="0"/>
                <w:bCs w:val="0"/>
                <w:caps w:val="0"/>
                <w:sz w:val="22"/>
                <w:szCs w:val="22"/>
              </w:rPr>
              <w:tab/>
            </w:r>
            <w:r>
              <w:rPr>
                <w:rStyle w:val="1238"/>
              </w:rPr>
              <w:t xml:space="preserve">ОБЩИЕ УСЛОВИЯ ПРОВЕДЕНИЯ закупки</w:t>
            </w:r>
            <w:r>
              <w:fldChar w:fldCharType="begin"/>
            </w:r>
            <w:r>
              <w:instrText xml:space="preserve">PAGEREF _Toc236307183 \h</w:instrText>
            </w:r>
            <w:r/>
            <w:r>
              <w:fldChar w:fldCharType="separate"/>
            </w:r>
            <w:r>
              <w:rPr>
                <w:rStyle w:val="1238"/>
              </w:rPr>
              <w:tab/>
              <w:t xml:space="preserve">4</w:t>
            </w:r>
            <w:r>
              <w:fldChar w:fldCharType="end"/>
            </w:r>
          </w:hyperlink>
          <w:r/>
          <w:r>
            <w:rPr>
              <w:rFonts w:asciiTheme="minorHAnsi" w:hAnsiTheme="minorHAnsi" w:eastAsiaTheme="minorEastAsia" w:cstheme="minorBidi"/>
              <w:b w:val="0"/>
              <w:bCs w:val="0"/>
              <w: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184" w:anchor="_Toc236307184" w:history="1">
            <w:r>
              <w:rPr>
                <w:rStyle w:val="1238"/>
              </w:rPr>
              <w:t xml:space="preserve">1.</w:t>
            </w:r>
            <w:r>
              <w:rPr>
                <w:rStyle w:val="1238"/>
                <w:rFonts w:asciiTheme="minorHAnsi" w:hAnsiTheme="minorHAnsi" w:eastAsiaTheme="minorEastAsia" w:cstheme="minorBidi"/>
                <w:b w:val="0"/>
                <w:bCs w:val="0"/>
                <w:caps w:val="0"/>
                <w:sz w:val="22"/>
                <w:szCs w:val="22"/>
              </w:rPr>
              <w:tab/>
            </w:r>
            <w:r>
              <w:rPr>
                <w:rStyle w:val="1238"/>
              </w:rPr>
              <w:t xml:space="preserve">ОБЩИЕ ПОЛОЖЕНИЯ</w:t>
            </w:r>
            <w:r>
              <w:fldChar w:fldCharType="begin"/>
            </w:r>
            <w:r>
              <w:instrText xml:space="preserve">PAGEREF _Toc236307184 \h</w:instrText>
            </w:r>
            <w:r/>
            <w:r>
              <w:fldChar w:fldCharType="separate"/>
            </w:r>
            <w:r>
              <w:rPr>
                <w:rStyle w:val="1238"/>
              </w:rPr>
              <w:tab/>
              <w:t xml:space="preserve">4</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185" w:anchor="_Toc236307185" w:history="1">
            <w:r>
              <w:rPr>
                <w:rStyle w:val="1238"/>
              </w:rPr>
              <w:t xml:space="preserve">1.1.</w:t>
            </w:r>
            <w:r>
              <w:rPr>
                <w:rStyle w:val="1238"/>
                <w:rFonts w:asciiTheme="minorHAnsi" w:hAnsiTheme="minorHAnsi" w:eastAsiaTheme="minorEastAsia" w:cstheme="minorBidi"/>
                <w:smallCaps w:val="0"/>
                <w:sz w:val="22"/>
                <w:szCs w:val="22"/>
              </w:rPr>
              <w:tab/>
            </w:r>
            <w:r>
              <w:rPr>
                <w:rStyle w:val="1238"/>
              </w:rPr>
              <w:t xml:space="preserve">Правовой статус документов</w:t>
            </w:r>
            <w:r>
              <w:fldChar w:fldCharType="begin"/>
            </w:r>
            <w:r>
              <w:instrText xml:space="preserve">PAGEREF _Toc236307185 \h</w:instrText>
            </w:r>
            <w:r/>
            <w:r>
              <w:fldChar w:fldCharType="separate"/>
            </w:r>
            <w:r>
              <w:rPr>
                <w:rStyle w:val="1238"/>
              </w:rPr>
              <w:tab/>
              <w:t xml:space="preserve">4</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86" w:anchor="_Toc236307186" w:history="1">
            <w:r>
              <w:rPr>
                <w:rStyle w:val="1238"/>
              </w:rPr>
              <w:t xml:space="preserve">1.2.</w:t>
            </w:r>
            <w:r>
              <w:rPr>
                <w:rStyle w:val="1238"/>
                <w:rFonts w:asciiTheme="minorHAnsi" w:hAnsiTheme="minorHAnsi" w:eastAsiaTheme="minorEastAsia" w:cstheme="minorBidi"/>
                <w:smallCaps w:val="0"/>
                <w:sz w:val="22"/>
                <w:szCs w:val="22"/>
              </w:rPr>
              <w:tab/>
            </w:r>
            <w:r>
              <w:rPr>
                <w:rStyle w:val="1238"/>
              </w:rPr>
              <w:t xml:space="preserve">Заказчик, предмет и условия проведения закупки.</w:t>
            </w:r>
            <w:r>
              <w:fldChar w:fldCharType="begin"/>
            </w:r>
            <w:r>
              <w:instrText xml:space="preserve">PAGEREF _Toc236307186 \h</w:instrText>
            </w:r>
            <w:r/>
            <w:r>
              <w:fldChar w:fldCharType="separate"/>
            </w:r>
            <w:r>
              <w:rPr>
                <w:rStyle w:val="1238"/>
              </w:rPr>
              <w:tab/>
              <w:t xml:space="preserve">4</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87" w:anchor="_Toc236307187" w:history="1">
            <w:r>
              <w:rPr>
                <w:rStyle w:val="1238"/>
              </w:rPr>
              <w:t xml:space="preserve">1.3.</w:t>
            </w:r>
            <w:r>
              <w:rPr>
                <w:rStyle w:val="1238"/>
                <w:rFonts w:asciiTheme="minorHAnsi" w:hAnsiTheme="minorHAnsi" w:eastAsiaTheme="minorEastAsia" w:cstheme="minorBidi"/>
                <w:smallCaps w:val="0"/>
                <w:sz w:val="22"/>
                <w:szCs w:val="22"/>
              </w:rPr>
              <w:tab/>
            </w:r>
            <w:r>
              <w:rPr>
                <w:rStyle w:val="1238"/>
              </w:rPr>
              <w:t xml:space="preserve">Начальная (максимальная) цена договора</w:t>
            </w:r>
            <w:r>
              <w:fldChar w:fldCharType="begin"/>
            </w:r>
            <w:r>
              <w:instrText xml:space="preserve">PAGEREF _Toc236307187 \h</w:instrText>
            </w:r>
            <w:r/>
            <w:r>
              <w:fldChar w:fldCharType="separate"/>
            </w:r>
            <w:r>
              <w:rPr>
                <w:rStyle w:val="1238"/>
              </w:rPr>
              <w:tab/>
              <w:t xml:space="preserve">5</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88" w:anchor="_Toc236307188" w:history="1">
            <w:r>
              <w:rPr>
                <w:rStyle w:val="1238"/>
              </w:rPr>
              <w:t xml:space="preserve">1.4.</w:t>
            </w:r>
            <w:r>
              <w:rPr>
                <w:rStyle w:val="1238"/>
                <w:rFonts w:asciiTheme="minorHAnsi" w:hAnsiTheme="minorHAnsi" w:eastAsiaTheme="minorEastAsia" w:cstheme="minorBidi"/>
                <w:smallCaps w:val="0"/>
                <w:sz w:val="22"/>
                <w:szCs w:val="22"/>
              </w:rPr>
              <w:tab/>
            </w:r>
            <w:r>
              <w:rPr>
                <w:rStyle w:val="1238"/>
              </w:rPr>
              <w:t xml:space="preserve">Требования к участникам закупки</w:t>
            </w:r>
            <w:r>
              <w:fldChar w:fldCharType="begin"/>
            </w:r>
            <w:r>
              <w:instrText xml:space="preserve">PAGEREF _Toc236307188 \h</w:instrText>
            </w:r>
            <w:r/>
            <w:r>
              <w:fldChar w:fldCharType="separate"/>
            </w:r>
            <w:r>
              <w:rPr>
                <w:rStyle w:val="1238"/>
              </w:rPr>
              <w:tab/>
              <w:t xml:space="preserve">5</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89" w:anchor="_Toc236307189" w:history="1">
            <w:r>
              <w:rPr>
                <w:rStyle w:val="1238"/>
              </w:rPr>
              <w:t xml:space="preserve">1.5.</w:t>
            </w:r>
            <w:r>
              <w:rPr>
                <w:rStyle w:val="1238"/>
                <w:rFonts w:asciiTheme="minorHAnsi" w:hAnsiTheme="minorHAnsi" w:eastAsiaTheme="minorEastAsia" w:cstheme="minorBidi"/>
                <w:smallCaps w:val="0"/>
                <w:sz w:val="22"/>
                <w:szCs w:val="22"/>
              </w:rPr>
              <w:tab/>
            </w:r>
            <w:r>
              <w:rPr>
                <w:rStyle w:val="1238"/>
              </w:rPr>
              <w:t xml:space="preserve">Привлечение соисполнителей (субподрядчиков) к исполнению договора</w:t>
            </w:r>
            <w:r>
              <w:fldChar w:fldCharType="begin"/>
            </w:r>
            <w:r>
              <w:instrText xml:space="preserve">PAGEREF _Toc236307189 \h</w:instrText>
            </w:r>
            <w:r/>
            <w:r>
              <w:fldChar w:fldCharType="separate"/>
            </w:r>
            <w:r>
              <w:rPr>
                <w:rStyle w:val="1238"/>
              </w:rPr>
              <w:tab/>
              <w:t xml:space="preserve">6</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0" w:anchor="_Toc236307190" w:history="1">
            <w:r>
              <w:rPr>
                <w:rStyle w:val="1238"/>
              </w:rPr>
              <w:t xml:space="preserve">1.6.</w:t>
            </w:r>
            <w:r>
              <w:rPr>
                <w:rStyle w:val="1238"/>
                <w:rFonts w:asciiTheme="minorHAnsi" w:hAnsiTheme="minorHAnsi" w:eastAsiaTheme="minorEastAsia" w:cstheme="minorBidi"/>
                <w:smallCaps w:val="0"/>
                <w:sz w:val="22"/>
                <w:szCs w:val="22"/>
              </w:rPr>
              <w:tab/>
            </w:r>
            <w:r>
              <w:rPr>
                <w:rStyle w:val="1238"/>
              </w:rPr>
              <w:t xml:space="preserve">Расходы на участие в закупке и при заключении договора</w:t>
            </w:r>
            <w:r>
              <w:fldChar w:fldCharType="begin"/>
            </w:r>
            <w:r>
              <w:instrText xml:space="preserve">PAGEREF _Toc236307190 \h</w:instrText>
            </w:r>
            <w:r/>
            <w:r>
              <w:fldChar w:fldCharType="separate"/>
            </w:r>
            <w:r>
              <w:rPr>
                <w:rStyle w:val="1238"/>
              </w:rPr>
              <w:tab/>
              <w:t xml:space="preserve">6</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1" w:anchor="_Toc236307191" w:history="1">
            <w:r>
              <w:rPr>
                <w:rStyle w:val="1238"/>
              </w:rPr>
              <w:t xml:space="preserve">1.7.</w:t>
            </w:r>
            <w:r>
              <w:rPr>
                <w:rStyle w:val="1238"/>
                <w:rFonts w:asciiTheme="minorHAnsi" w:hAnsiTheme="minorHAnsi" w:eastAsiaTheme="minorEastAsia" w:cstheme="minorBidi"/>
                <w:smallCaps w:val="0"/>
                <w:sz w:val="22"/>
                <w:szCs w:val="22"/>
              </w:rPr>
              <w:tab/>
            </w:r>
            <w:r>
              <w:rPr>
                <w:rStyle w:val="1238"/>
              </w:rPr>
              <w:t xml:space="preserve">Условия предоставления национального режим</w:t>
            </w:r>
            <w:r>
              <w:rPr>
                <w:rStyle w:val="1238"/>
              </w:rPr>
              <w:t xml:space="preserve">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r>
              <w:fldChar w:fldCharType="begin"/>
            </w:r>
            <w:r>
              <w:instrText xml:space="preserve">PAGEREF _Toc236307191 \h</w:instrText>
            </w:r>
            <w:r/>
            <w:r>
              <w:fldChar w:fldCharType="separate"/>
            </w:r>
            <w:r>
              <w:rPr>
                <w:rStyle w:val="1238"/>
              </w:rPr>
              <w:tab/>
              <w:t xml:space="preserve">6</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192" w:anchor="_Toc236307192" w:history="1">
            <w:r>
              <w:rPr>
                <w:rStyle w:val="1238"/>
              </w:rPr>
              <w:t xml:space="preserve">2.</w:t>
            </w:r>
            <w:r>
              <w:rPr>
                <w:rStyle w:val="1238"/>
                <w:rFonts w:asciiTheme="minorHAnsi" w:hAnsiTheme="minorHAnsi" w:eastAsiaTheme="minorEastAsia" w:cstheme="minorBidi"/>
                <w:b w:val="0"/>
                <w:bCs w:val="0"/>
                <w:caps w:val="0"/>
                <w:sz w:val="22"/>
                <w:szCs w:val="22"/>
              </w:rPr>
              <w:tab/>
            </w:r>
            <w:r>
              <w:rPr>
                <w:rStyle w:val="1238"/>
              </w:rPr>
              <w:t xml:space="preserve">ДОКУМЕНТАЦИЯ О ЗАКУПКЕ</w:t>
            </w:r>
            <w:r>
              <w:fldChar w:fldCharType="begin"/>
            </w:r>
            <w:r>
              <w:instrText xml:space="preserve">PAGEREF _Toc236307192 \h</w:instrText>
            </w:r>
            <w:r/>
            <w:r>
              <w:fldChar w:fldCharType="separate"/>
            </w:r>
            <w:r>
              <w:rPr>
                <w:rStyle w:val="1238"/>
              </w:rPr>
              <w:tab/>
              <w:t xml:space="preserve">10</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193" w:anchor="_Toc236307193" w:history="1">
            <w:r>
              <w:rPr>
                <w:rStyle w:val="1238"/>
              </w:rPr>
              <w:t xml:space="preserve">2.1.</w:t>
            </w:r>
            <w:r>
              <w:rPr>
                <w:rStyle w:val="1238"/>
                <w:rFonts w:asciiTheme="minorHAnsi" w:hAnsiTheme="minorHAnsi" w:eastAsiaTheme="minorEastAsia" w:cstheme="minorBidi"/>
                <w:smallCaps w:val="0"/>
                <w:sz w:val="22"/>
                <w:szCs w:val="22"/>
              </w:rPr>
              <w:tab/>
            </w:r>
            <w:r>
              <w:rPr>
                <w:rStyle w:val="1238"/>
              </w:rPr>
              <w:t xml:space="preserve">Предоставление документации о закупке</w:t>
            </w:r>
            <w:r>
              <w:fldChar w:fldCharType="begin"/>
            </w:r>
            <w:r>
              <w:instrText xml:space="preserve">PAGEREF _Toc236307193 \h</w:instrText>
            </w:r>
            <w:r/>
            <w:r>
              <w:fldChar w:fldCharType="separate"/>
            </w:r>
            <w:r>
              <w:rPr>
                <w:rStyle w:val="1238"/>
              </w:rPr>
              <w:tab/>
              <w:t xml:space="preserve">10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4" w:anchor="_Toc236307194" w:history="1">
            <w:r>
              <w:rPr>
                <w:rStyle w:val="1238"/>
              </w:rPr>
              <w:t xml:space="preserve">2.2.</w:t>
            </w:r>
            <w:r>
              <w:rPr>
                <w:rStyle w:val="1238"/>
                <w:rFonts w:asciiTheme="minorHAnsi" w:hAnsiTheme="minorHAnsi" w:eastAsiaTheme="minorEastAsia" w:cstheme="minorBidi"/>
                <w:smallCaps w:val="0"/>
                <w:sz w:val="22"/>
                <w:szCs w:val="22"/>
              </w:rPr>
              <w:tab/>
            </w:r>
            <w:r>
              <w:rPr>
                <w:rStyle w:val="1238"/>
              </w:rPr>
              <w:t xml:space="preserve">Разъяснение положений документации о закупке</w:t>
            </w:r>
            <w:r>
              <w:fldChar w:fldCharType="begin"/>
            </w:r>
            <w:r>
              <w:instrText xml:space="preserve">PAGEREF _Toc236307194 \h</w:instrText>
            </w:r>
            <w:r/>
            <w:r>
              <w:fldChar w:fldCharType="separate"/>
            </w:r>
            <w:r>
              <w:rPr>
                <w:rStyle w:val="1238"/>
              </w:rPr>
              <w:tab/>
              <w:t xml:space="preserve">10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5" w:anchor="_Toc236307195" w:history="1">
            <w:r>
              <w:rPr>
                <w:rStyle w:val="1238"/>
              </w:rPr>
              <w:t xml:space="preserve">2.3.</w:t>
            </w:r>
            <w:r>
              <w:rPr>
                <w:rStyle w:val="1238"/>
                <w:rFonts w:asciiTheme="minorHAnsi" w:hAnsiTheme="minorHAnsi" w:eastAsiaTheme="minorEastAsia" w:cstheme="minorBidi"/>
                <w:smallCaps w:val="0"/>
                <w:sz w:val="22"/>
                <w:szCs w:val="22"/>
              </w:rPr>
              <w:tab/>
            </w:r>
            <w:r>
              <w:rPr>
                <w:rStyle w:val="1238"/>
              </w:rPr>
              <w:t xml:space="preserve">Внесение изменений в извещение о закупке и/или документацию о закупке</w:t>
            </w:r>
            <w:r>
              <w:fldChar w:fldCharType="begin"/>
            </w:r>
            <w:r>
              <w:instrText xml:space="preserve">PAGEREF _Toc236307195 \h</w:instrText>
            </w:r>
            <w:r/>
            <w:r>
              <w:fldChar w:fldCharType="separate"/>
            </w:r>
            <w:r>
              <w:rPr>
                <w:rStyle w:val="1238"/>
              </w:rPr>
              <w:tab/>
              <w:t xml:space="preserve">10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6" w:anchor="_Toc236307196" w:history="1">
            <w:r>
              <w:rPr>
                <w:rStyle w:val="1238"/>
              </w:rPr>
              <w:t xml:space="preserve">2.4.</w:t>
            </w:r>
            <w:r>
              <w:rPr>
                <w:rStyle w:val="1238"/>
                <w:rFonts w:asciiTheme="minorHAnsi" w:hAnsiTheme="minorHAnsi" w:eastAsiaTheme="minorEastAsia" w:cstheme="minorBidi"/>
                <w:smallCaps w:val="0"/>
                <w:sz w:val="22"/>
                <w:szCs w:val="22"/>
              </w:rPr>
              <w:tab/>
            </w:r>
            <w:r>
              <w:rPr>
                <w:rStyle w:val="1238"/>
              </w:rPr>
              <w:t xml:space="preserve">Отмена закупки</w:t>
            </w:r>
            <w:r>
              <w:fldChar w:fldCharType="begin"/>
            </w:r>
            <w:r>
              <w:instrText xml:space="preserve">PAGEREF _Toc236307196 \h</w:instrText>
            </w:r>
            <w:r/>
            <w:r>
              <w:fldChar w:fldCharType="separate"/>
            </w:r>
            <w:r>
              <w:rPr>
                <w:rStyle w:val="1238"/>
              </w:rPr>
              <w:tab/>
              <w:t xml:space="preserve">10</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197" w:anchor="_Toc236307197" w:history="1">
            <w:r>
              <w:rPr>
                <w:rStyle w:val="1238"/>
              </w:rPr>
              <w:t xml:space="preserve">3.</w:t>
            </w:r>
            <w:r>
              <w:rPr>
                <w:rStyle w:val="1238"/>
                <w:rFonts w:asciiTheme="minorHAnsi" w:hAnsiTheme="minorHAnsi" w:eastAsiaTheme="minorEastAsia" w:cstheme="minorBidi"/>
                <w:b w:val="0"/>
                <w:bCs w:val="0"/>
                <w:caps w:val="0"/>
                <w:sz w:val="22"/>
                <w:szCs w:val="22"/>
              </w:rPr>
              <w:tab/>
            </w:r>
            <w:r>
              <w:rPr>
                <w:rStyle w:val="1238"/>
              </w:rPr>
              <w:t xml:space="preserve">ТРЕБОВАНИЯ К СОДЕРЖАНИЮ ЗАЯВКИ НА УЧАСТИЕ В ЗАКУПКЕ</w:t>
            </w:r>
            <w:r>
              <w:fldChar w:fldCharType="begin"/>
            </w:r>
            <w:r>
              <w:instrText xml:space="preserve">PAGEREF _Toc236307197 \h</w:instrText>
            </w:r>
            <w:r/>
            <w:r>
              <w:fldChar w:fldCharType="separate"/>
            </w:r>
            <w:r>
              <w:rPr>
                <w:rStyle w:val="1238"/>
              </w:rPr>
              <w:tab/>
              <w:t xml:space="preserve">11</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198" w:anchor="_Toc236307198" w:history="1">
            <w:r>
              <w:rPr>
                <w:rStyle w:val="1238"/>
              </w:rPr>
              <w:t xml:space="preserve">3.1.</w:t>
            </w:r>
            <w:r>
              <w:rPr>
                <w:rStyle w:val="1238"/>
                <w:rFonts w:asciiTheme="minorHAnsi" w:hAnsiTheme="minorHAnsi" w:eastAsiaTheme="minorEastAsia" w:cstheme="minorBidi"/>
                <w:smallCaps w:val="0"/>
                <w:sz w:val="22"/>
                <w:szCs w:val="22"/>
              </w:rPr>
              <w:tab/>
            </w:r>
            <w:r>
              <w:rPr>
                <w:rStyle w:val="1238"/>
              </w:rPr>
              <w:t xml:space="preserve">Требования к оформлению заявки на участие в закупке</w:t>
            </w:r>
            <w:r>
              <w:fldChar w:fldCharType="begin"/>
            </w:r>
            <w:r>
              <w:instrText xml:space="preserve">PAGEREF _Toc236307198 \h</w:instrText>
            </w:r>
            <w:r/>
            <w:r>
              <w:fldChar w:fldCharType="separate"/>
            </w:r>
            <w:r>
              <w:rPr>
                <w:rStyle w:val="1238"/>
              </w:rPr>
              <w:tab/>
              <w:t xml:space="preserve">11</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199" w:anchor="_Toc236307199" w:history="1">
            <w:r>
              <w:rPr>
                <w:rStyle w:val="1238"/>
              </w:rPr>
              <w:t xml:space="preserve">3.2.</w:t>
            </w:r>
            <w:r>
              <w:rPr>
                <w:rStyle w:val="1238"/>
                <w:rFonts w:asciiTheme="minorHAnsi" w:hAnsiTheme="minorHAnsi" w:eastAsiaTheme="minorEastAsia" w:cstheme="minorBidi"/>
                <w:smallCaps w:val="0"/>
                <w:sz w:val="22"/>
                <w:szCs w:val="22"/>
              </w:rPr>
              <w:tab/>
            </w:r>
            <w:r>
              <w:rPr>
                <w:rStyle w:val="1238"/>
              </w:rPr>
              <w:t xml:space="preserve">Язык документов, входящих в состав заявки на участие в закупке</w:t>
            </w:r>
            <w:r>
              <w:fldChar w:fldCharType="begin"/>
            </w:r>
            <w:r>
              <w:instrText xml:space="preserve">PAGEREF _Toc236307199 \h</w:instrText>
            </w:r>
            <w:r/>
            <w:r>
              <w:fldChar w:fldCharType="separate"/>
            </w:r>
            <w:r>
              <w:rPr>
                <w:rStyle w:val="1238"/>
              </w:rPr>
              <w:tab/>
              <w:t xml:space="preserve">12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00" w:anchor="_Toc236307200" w:history="1">
            <w:r>
              <w:rPr>
                <w:rStyle w:val="1238"/>
              </w:rPr>
              <w:t xml:space="preserve">3.3.</w:t>
            </w:r>
            <w:r>
              <w:rPr>
                <w:rStyle w:val="1238"/>
                <w:rFonts w:asciiTheme="minorHAnsi" w:hAnsiTheme="minorHAnsi" w:eastAsiaTheme="minorEastAsia" w:cstheme="minorBidi"/>
                <w:smallCaps w:val="0"/>
                <w:sz w:val="22"/>
                <w:szCs w:val="22"/>
              </w:rPr>
              <w:tab/>
            </w:r>
            <w:r>
              <w:rPr>
                <w:rStyle w:val="1238"/>
              </w:rPr>
              <w:t xml:space="preserve">Требования к валюте заявки</w:t>
            </w:r>
            <w:r>
              <w:fldChar w:fldCharType="begin"/>
            </w:r>
            <w:r>
              <w:instrText xml:space="preserve">PAGEREF _Toc236307200 \h</w:instrText>
            </w:r>
            <w:r/>
            <w:r>
              <w:fldChar w:fldCharType="separate"/>
            </w:r>
            <w:r>
              <w:rPr>
                <w:rStyle w:val="1238"/>
              </w:rPr>
              <w:tab/>
              <w:t xml:space="preserve">12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01" w:anchor="_Toc236307201" w:history="1">
            <w:r>
              <w:rPr>
                <w:rStyle w:val="1238"/>
              </w:rPr>
              <w:t xml:space="preserve">3.4.</w:t>
            </w:r>
            <w:r>
              <w:rPr>
                <w:rStyle w:val="1238"/>
                <w:rFonts w:asciiTheme="minorHAnsi" w:hAnsiTheme="minorHAnsi" w:eastAsiaTheme="minorEastAsia" w:cstheme="minorBidi"/>
                <w:smallCaps w:val="0"/>
                <w:sz w:val="22"/>
                <w:szCs w:val="22"/>
              </w:rPr>
              <w:tab/>
            </w:r>
            <w:r>
              <w:rPr>
                <w:rStyle w:val="1238"/>
              </w:rPr>
              <w:t xml:space="preserve">Требования к составу заявки на участие в закупке</w:t>
            </w:r>
            <w:r>
              <w:fldChar w:fldCharType="begin"/>
            </w:r>
            <w:r>
              <w:instrText xml:space="preserve">PAGEREF _Toc236307201 \h</w:instrText>
            </w:r>
            <w:r/>
            <w:r>
              <w:fldChar w:fldCharType="separate"/>
            </w:r>
            <w:r>
              <w:rPr>
                <w:rStyle w:val="1238"/>
              </w:rPr>
              <w:tab/>
              <w:t xml:space="preserve">13</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02" w:anchor="_Toc236307202" w:history="1">
            <w:r>
              <w:rPr>
                <w:rStyle w:val="1238"/>
              </w:rPr>
              <w:t xml:space="preserve">3.5.</w:t>
            </w:r>
            <w:r>
              <w:rPr>
                <w:rStyle w:val="1238"/>
                <w:rFonts w:asciiTheme="minorHAnsi" w:hAnsiTheme="minorHAnsi" w:eastAsiaTheme="minorEastAsia" w:cstheme="minorBidi"/>
                <w:smallCaps w:val="0"/>
                <w:sz w:val="22"/>
                <w:szCs w:val="22"/>
              </w:rPr>
              <w:tab/>
            </w:r>
            <w:r>
              <w:rPr>
                <w:rStyle w:val="1238"/>
              </w:rPr>
              <w:t xml:space="preserve">Требования к описанию предложения участника закупки</w:t>
            </w:r>
            <w:r>
              <w:fldChar w:fldCharType="begin"/>
            </w:r>
            <w:r>
              <w:instrText xml:space="preserve">PAGEREF _Toc236307202 \h</w:instrText>
            </w:r>
            <w:r/>
            <w:r>
              <w:fldChar w:fldCharType="separate"/>
            </w:r>
            <w:r>
              <w:rPr>
                <w:rStyle w:val="1238"/>
              </w:rPr>
              <w:tab/>
              <w:t xml:space="preserve">13</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03" w:anchor="_Toc236307203" w:history="1">
            <w:r>
              <w:rPr>
                <w:rStyle w:val="1238"/>
              </w:rPr>
              <w:t xml:space="preserve">3.6.</w:t>
            </w:r>
            <w:r>
              <w:rPr>
                <w:rStyle w:val="1238"/>
                <w:rFonts w:asciiTheme="minorHAnsi" w:hAnsiTheme="minorHAnsi" w:eastAsiaTheme="minorEastAsia" w:cstheme="minorBidi"/>
                <w:smallCaps w:val="0"/>
                <w:sz w:val="22"/>
                <w:szCs w:val="22"/>
              </w:rPr>
              <w:tab/>
            </w:r>
            <w:r>
              <w:rPr>
                <w:rStyle w:val="1238"/>
              </w:rPr>
              <w:t xml:space="preserve">Требования к обеспечению заявок на участие в закупке</w:t>
            </w:r>
            <w:r>
              <w:fldChar w:fldCharType="begin"/>
            </w:r>
            <w:r>
              <w:instrText xml:space="preserve">PAGEREF _Toc236307203 \h</w:instrText>
            </w:r>
            <w:r/>
            <w:r>
              <w:fldChar w:fldCharType="separate"/>
            </w:r>
            <w:r>
              <w:rPr>
                <w:rStyle w:val="1238"/>
              </w:rPr>
              <w:tab/>
              <w:t xml:space="preserve">14</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04" w:anchor="_Toc236307204" w:history="1">
            <w:r>
              <w:rPr>
                <w:rStyle w:val="1238"/>
              </w:rPr>
              <w:t xml:space="preserve">4.</w:t>
            </w:r>
            <w:r>
              <w:rPr>
                <w:rStyle w:val="1238"/>
                <w:rFonts w:asciiTheme="minorHAnsi" w:hAnsiTheme="minorHAnsi" w:eastAsiaTheme="minorEastAsia" w:cstheme="minorBidi"/>
                <w:b w:val="0"/>
                <w:bCs w:val="0"/>
                <w:caps w:val="0"/>
                <w:sz w:val="22"/>
                <w:szCs w:val="22"/>
              </w:rPr>
              <w:tab/>
            </w:r>
            <w:r>
              <w:rPr>
                <w:rStyle w:val="1238"/>
              </w:rPr>
              <w:t xml:space="preserve">ПОДАЧА ЗАЯВОК НА УЧАСТИЕ В ЗАКУПКЕ</w:t>
            </w:r>
            <w:r>
              <w:fldChar w:fldCharType="begin"/>
            </w:r>
            <w:r>
              <w:instrText xml:space="preserve">PAGEREF _Toc236307204 \h</w:instrText>
            </w:r>
            <w:r/>
            <w:r>
              <w:fldChar w:fldCharType="separate"/>
            </w:r>
            <w:r>
              <w:rPr>
                <w:rStyle w:val="1238"/>
              </w:rPr>
              <w:tab/>
              <w:t xml:space="preserve">16</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05" w:anchor="_Toc236307205" w:history="1">
            <w:r>
              <w:fldChar w:fldCharType="begin"/>
            </w:r>
            <w:r>
              <w:instrText xml:space="preserve">PAGEREF _Toc236307205 \h</w:instrText>
            </w:r>
            <w:r/>
            <w:r>
              <w:fldChar w:fldCharType="separate"/>
            </w:r>
            <w:r>
              <w:rPr>
                <w:rStyle w:val="1238"/>
              </w:rPr>
              <w:t xml:space="preserve">4.1. Порядок, место, дата начала и дата окончания срока подачи заявок на участие в закупке</w:t>
            </w:r>
            <w:r>
              <w:rPr>
                <w:rStyle w:val="1238"/>
              </w:rPr>
              <w:tab/>
              <w:t xml:space="preserve">16</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06" w:anchor="_Toc236307206" w:history="1">
            <w:r>
              <w:rPr>
                <w:rStyle w:val="1238"/>
              </w:rPr>
              <w:t xml:space="preserve">4.2.</w:t>
            </w:r>
            <w:r>
              <w:rPr>
                <w:rStyle w:val="1238"/>
                <w:rFonts w:asciiTheme="minorHAnsi" w:hAnsiTheme="minorHAnsi" w:eastAsiaTheme="minorEastAsia" w:cstheme="minorBidi"/>
                <w:smallCaps w:val="0"/>
                <w:sz w:val="22"/>
                <w:szCs w:val="22"/>
              </w:rPr>
              <w:tab/>
            </w:r>
            <w:r>
              <w:rPr>
                <w:rStyle w:val="1238"/>
              </w:rPr>
              <w:t xml:space="preserve">Изменения и отзыв заявок на участие в закупке</w:t>
            </w:r>
            <w:r>
              <w:fldChar w:fldCharType="begin"/>
            </w:r>
            <w:r>
              <w:instrText xml:space="preserve">PAGEREF _Toc236307206 \h</w:instrText>
            </w:r>
            <w:r/>
            <w:r>
              <w:fldChar w:fldCharType="separate"/>
            </w:r>
            <w:r>
              <w:rPr>
                <w:rStyle w:val="1238"/>
              </w:rPr>
              <w:tab/>
              <w:t xml:space="preserve">16</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07" w:anchor="_Toc236307207" w:history="1">
            <w:r>
              <w:rPr>
                <w:rStyle w:val="1238"/>
              </w:rPr>
              <w:t xml:space="preserve">5.</w:t>
            </w:r>
            <w:r>
              <w:rPr>
                <w:rStyle w:val="1238"/>
                <w:rFonts w:asciiTheme="minorHAnsi" w:hAnsiTheme="minorHAnsi" w:eastAsiaTheme="minorEastAsia" w:cstheme="minorBidi"/>
                <w:b w:val="0"/>
                <w:bCs w:val="0"/>
                <w:caps w:val="0"/>
                <w:sz w:val="22"/>
                <w:szCs w:val="22"/>
              </w:rPr>
              <w:tab/>
            </w:r>
            <w:r>
              <w:rPr>
                <w:rStyle w:val="1238"/>
              </w:rPr>
              <w:t xml:space="preserve">ПОРЯДОК ПРОВЕДЕНИЯ ЗАКУПКИ</w:t>
            </w:r>
            <w:r>
              <w:fldChar w:fldCharType="begin"/>
            </w:r>
            <w:r>
              <w:instrText xml:space="preserve">PAGEREF _Toc236307207 \h</w:instrText>
            </w:r>
            <w:r/>
            <w:r>
              <w:fldChar w:fldCharType="separate"/>
            </w:r>
            <w:r>
              <w:rPr>
                <w:rStyle w:val="1238"/>
              </w:rPr>
              <w:tab/>
              <w:t xml:space="preserve">16</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08" w:anchor="_Toc236307208" w:history="1">
            <w:r>
              <w:rPr>
                <w:rStyle w:val="1238"/>
              </w:rPr>
              <w:t xml:space="preserve">5.1.</w:t>
            </w:r>
            <w:r>
              <w:rPr>
                <w:rStyle w:val="1238"/>
                <w:rFonts w:asciiTheme="minorHAnsi" w:hAnsiTheme="minorHAnsi" w:eastAsiaTheme="minorEastAsia" w:cstheme="minorBidi"/>
                <w:smallCaps w:val="0"/>
                <w:sz w:val="22"/>
                <w:szCs w:val="22"/>
              </w:rPr>
              <w:tab/>
            </w:r>
            <w:r>
              <w:rPr>
                <w:rStyle w:val="1238"/>
              </w:rPr>
              <w:t xml:space="preserve">Закупочная процедура проводится в следующем порядке:</w:t>
            </w:r>
            <w:r>
              <w:fldChar w:fldCharType="begin"/>
            </w:r>
            <w:r>
              <w:instrText xml:space="preserve">PAGEREF _Toc236307208 \h</w:instrText>
            </w:r>
            <w:r/>
            <w:r>
              <w:fldChar w:fldCharType="separate"/>
            </w:r>
            <w:r>
              <w:rPr>
                <w:rStyle w:val="1238"/>
              </w:rPr>
              <w:tab/>
              <w:t xml:space="preserve">16</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09" w:anchor="_Toc236307209" w:history="1">
            <w:r>
              <w:rPr>
                <w:rStyle w:val="1238"/>
              </w:rPr>
              <w:t xml:space="preserve">6.</w:t>
            </w:r>
            <w:r>
              <w:rPr>
                <w:rStyle w:val="1238"/>
                <w:rFonts w:asciiTheme="minorHAnsi" w:hAnsiTheme="minorHAnsi" w:eastAsiaTheme="minorEastAsia" w:cstheme="minorBidi"/>
                <w:b w:val="0"/>
                <w:bCs w:val="0"/>
                <w:caps w:val="0"/>
                <w:sz w:val="22"/>
                <w:szCs w:val="22"/>
              </w:rPr>
              <w:tab/>
            </w:r>
            <w:r>
              <w:rPr>
                <w:rStyle w:val="1238"/>
              </w:rPr>
              <w:t xml:space="preserve">ПОРЯДОК ПРОВЕДЕНИЯ ЭТАПОВ ЗАКУПКИ</w:t>
            </w:r>
            <w:r>
              <w:fldChar w:fldCharType="begin"/>
            </w:r>
            <w:r>
              <w:instrText xml:space="preserve">PAGEREF _Toc236307209 \h</w:instrText>
            </w:r>
            <w:r/>
            <w:r>
              <w:fldChar w:fldCharType="separate"/>
            </w:r>
            <w:r>
              <w:rPr>
                <w:rStyle w:val="1238"/>
              </w:rPr>
              <w:tab/>
              <w:t xml:space="preserve">17</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10" w:anchor="_Toc236307210" w:history="1">
            <w:r>
              <w:rPr>
                <w:rStyle w:val="1238"/>
              </w:rPr>
              <w:t xml:space="preserve">6.1.</w:t>
            </w:r>
            <w:r>
              <w:rPr>
                <w:rStyle w:val="1238"/>
                <w:rFonts w:asciiTheme="minorHAnsi" w:hAnsiTheme="minorHAnsi" w:eastAsiaTheme="minorEastAsia" w:cstheme="minorBidi"/>
                <w:smallCaps w:val="0"/>
                <w:sz w:val="22"/>
                <w:szCs w:val="22"/>
              </w:rPr>
              <w:tab/>
            </w:r>
            <w:r>
              <w:rPr>
                <w:rStyle w:val="1238"/>
              </w:rPr>
              <w:t xml:space="preserve">Обсуждение с участниками конкурса функциональных характеристик </w:t>
            </w:r>
            <w:r>
              <w:rPr>
                <w:rStyle w:val="1238"/>
              </w:rPr>
              <w:t xml:space="preserve">(потребительских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fldChar w:fldCharType="begin"/>
            </w:r>
            <w:r>
              <w:instrText xml:space="preserve">PAGEREF _Toc236307210 \h</w:instrText>
            </w:r>
            <w:r/>
            <w:r>
              <w:fldChar w:fldCharType="separate"/>
            </w:r>
            <w:r>
              <w:rPr>
                <w:rStyle w:val="1238"/>
              </w:rPr>
              <w:tab/>
              <w:t xml:space="preserve">17</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1" w:anchor="_Toc236307211" w:history="1">
            <w:r>
              <w:rPr>
                <w:rStyle w:val="1238"/>
              </w:rPr>
              <w:t xml:space="preserve">6.2.</w:t>
            </w:r>
            <w:r>
              <w:rPr>
                <w:rStyle w:val="1238"/>
                <w:rFonts w:asciiTheme="minorHAnsi" w:hAnsiTheme="minorHAnsi" w:eastAsiaTheme="minorEastAsia" w:cstheme="minorBidi"/>
                <w:smallCaps w:val="0"/>
                <w:sz w:val="22"/>
                <w:szCs w:val="22"/>
              </w:rPr>
              <w:tab/>
            </w:r>
            <w:r>
              <w:rPr>
                <w:rStyle w:val="1238"/>
              </w:rPr>
              <w:t xml:space="preserve">Обсуждение Заказчиком предложений участников о функциональных характеристиках (потребительских свойствах) товаров, ка</w:t>
            </w:r>
            <w:r>
              <w:rPr>
                <w:rStyle w:val="1238"/>
              </w:rPr>
              <w:t xml:space="preserve">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fldChar w:fldCharType="begin"/>
            </w:r>
            <w:r>
              <w:instrText xml:space="preserve">PAGEREF _Toc236307211 \h</w:instrText>
            </w:r>
            <w:r/>
            <w:r>
              <w:fldChar w:fldCharType="separate"/>
            </w:r>
            <w:r>
              <w:rPr>
                <w:rStyle w:val="1238"/>
              </w:rPr>
              <w:tab/>
              <w:t xml:space="preserve">17</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2" w:anchor="_Toc236307212" w:history="1">
            <w:r>
              <w:rPr>
                <w:rStyle w:val="1238"/>
              </w:rPr>
              <w:t xml:space="preserve">6.3.</w:t>
            </w:r>
            <w:r>
              <w:rPr>
                <w:rStyle w:val="1238"/>
                <w:rFonts w:asciiTheme="minorHAnsi" w:hAnsiTheme="minorHAnsi" w:eastAsiaTheme="minorEastAsia" w:cstheme="minorBidi"/>
                <w:smallCaps w:val="0"/>
                <w:sz w:val="22"/>
                <w:szCs w:val="22"/>
              </w:rPr>
              <w:tab/>
            </w:r>
            <w:r>
              <w:rPr>
                <w:rStyle w:val="1238"/>
              </w:rPr>
              <w:t xml:space="preserve">Рассмотрение и оценка Заказчиком поданных участниками закупки заявок</w:t>
            </w:r>
            <w:r>
              <w:fldChar w:fldCharType="begin"/>
            </w:r>
            <w:r>
              <w:instrText xml:space="preserve">PAGEREF _Toc236307212 \h</w:instrText>
            </w:r>
            <w:r/>
            <w:r>
              <w:fldChar w:fldCharType="separate"/>
            </w:r>
            <w:r>
              <w:rPr>
                <w:rStyle w:val="1238"/>
              </w:rPr>
              <w:tab/>
              <w:t xml:space="preserve">19</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3" w:anchor="_Toc236307213" w:history="1">
            <w:r>
              <w:rPr>
                <w:rStyle w:val="1238"/>
              </w:rPr>
              <w:t xml:space="preserve">6.4.</w:t>
            </w:r>
            <w:r>
              <w:rPr>
                <w:rStyle w:val="1238"/>
                <w:rFonts w:asciiTheme="minorHAnsi" w:hAnsiTheme="minorHAnsi" w:eastAsiaTheme="minorEastAsia" w:cstheme="minorBidi"/>
                <w:smallCaps w:val="0"/>
                <w:sz w:val="22"/>
                <w:szCs w:val="22"/>
              </w:rPr>
              <w:tab/>
            </w:r>
            <w:r>
              <w:rPr>
                <w:rStyle w:val="1238"/>
              </w:rPr>
              <w:t xml:space="preserve">Сопоставление дополнительных ценовых предложений участников о снижении цены договора</w:t>
            </w:r>
            <w:r>
              <w:fldChar w:fldCharType="begin"/>
            </w:r>
            <w:r>
              <w:instrText xml:space="preserve">PAGEREF _Toc236307213 \h</w:instrText>
            </w:r>
            <w:r/>
            <w:r>
              <w:fldChar w:fldCharType="separate"/>
            </w:r>
            <w:r>
              <w:rPr>
                <w:rStyle w:val="1238"/>
              </w:rPr>
              <w:tab/>
              <w:t xml:space="preserve">19</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4" w:anchor="_Toc236307214" w:history="1">
            <w:r>
              <w:rPr>
                <w:rStyle w:val="1238"/>
              </w:rPr>
              <w:t xml:space="preserve">6.5.</w:t>
            </w:r>
            <w:r>
              <w:rPr>
                <w:rStyle w:val="1238"/>
                <w:rFonts w:asciiTheme="minorHAnsi" w:hAnsiTheme="minorHAnsi" w:eastAsiaTheme="minorEastAsia" w:cstheme="minorBidi"/>
                <w:smallCaps w:val="0"/>
                <w:sz w:val="22"/>
                <w:szCs w:val="22"/>
              </w:rPr>
              <w:tab/>
            </w:r>
            <w:r>
              <w:rPr>
                <w:rStyle w:val="1238"/>
              </w:rPr>
              <w:t xml:space="preserve">Одновременное включение в конкурс в электронной форме этапов, предусмотренных пунктами 6.1 и 6.2, не допускается.</w:t>
            </w:r>
            <w:r>
              <w:fldChar w:fldCharType="begin"/>
            </w:r>
            <w:r>
              <w:instrText xml:space="preserve">PAGEREF _Toc236307214 \h</w:instrText>
            </w:r>
            <w:r/>
            <w:r>
              <w:fldChar w:fldCharType="separate"/>
            </w:r>
            <w:r>
              <w:rPr>
                <w:rStyle w:val="1238"/>
              </w:rPr>
              <w:tab/>
              <w:t xml:space="preserve">19</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5" w:anchor="_Toc236307215" w:history="1">
            <w:r>
              <w:rPr>
                <w:rStyle w:val="1238"/>
              </w:rPr>
              <w:t xml:space="preserve">6.6.</w:t>
            </w:r>
            <w:r>
              <w:rPr>
                <w:rStyle w:val="1238"/>
                <w:rFonts w:asciiTheme="minorHAnsi" w:hAnsiTheme="minorHAnsi" w:eastAsiaTheme="minorEastAsia" w:cstheme="minorBidi"/>
                <w:smallCaps w:val="0"/>
                <w:sz w:val="22"/>
                <w:szCs w:val="22"/>
              </w:rPr>
              <w:tab/>
            </w:r>
            <w:r>
              <w:rPr>
                <w:rStyle w:val="1238"/>
              </w:rPr>
              <w:t xml:space="preserve">Каждый этап конкурса в электронной форме может быть включен в него однократно.</w:t>
            </w:r>
            <w:r>
              <w:fldChar w:fldCharType="begin"/>
            </w:r>
            <w:r>
              <w:instrText xml:space="preserve">PAGEREF _Toc236307215 \h</w:instrText>
            </w:r>
            <w:r/>
            <w:r>
              <w:fldChar w:fldCharType="separate"/>
            </w:r>
            <w:r>
              <w:rPr>
                <w:rStyle w:val="1238"/>
              </w:rPr>
              <w:tab/>
              <w:t xml:space="preserve">19</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16" w:anchor="_Toc236307216" w:history="1">
            <w:r>
              <w:rPr>
                <w:rStyle w:val="1238"/>
              </w:rPr>
              <w:t xml:space="preserve">7.</w:t>
            </w:r>
            <w:r>
              <w:rPr>
                <w:rStyle w:val="1238"/>
                <w:rFonts w:asciiTheme="minorHAnsi" w:hAnsiTheme="minorHAnsi" w:eastAsiaTheme="minorEastAsia" w:cstheme="minorBidi"/>
                <w:b w:val="0"/>
                <w:bCs w:val="0"/>
                <w:caps w:val="0"/>
                <w:sz w:val="22"/>
                <w:szCs w:val="22"/>
              </w:rPr>
              <w:tab/>
            </w:r>
            <w:r>
              <w:rPr>
                <w:rStyle w:val="1238"/>
              </w:rPr>
              <w:t xml:space="preserve">ПОРЯДОК ПРОВЕДЕНИЯ РАССМОТРЕНИЯ, ОЦЕНКИ И СОПОСТАВЛЕНИЯ ЗАЯВОК НА УЧАСТИЕ В ЗАКУПКЕ</w:t>
            </w:r>
            <w:r>
              <w:fldChar w:fldCharType="begin"/>
            </w:r>
            <w:r>
              <w:instrText xml:space="preserve">PAGEREF _Toc236307216 \h</w:instrText>
            </w:r>
            <w:r/>
            <w:r>
              <w:fldChar w:fldCharType="separate"/>
            </w:r>
            <w:r>
              <w:rPr>
                <w:rStyle w:val="1238"/>
              </w:rPr>
              <w:tab/>
              <w:t xml:space="preserve">19</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17" w:anchor="_Toc236307217" w:history="1">
            <w:r>
              <w:rPr>
                <w:rStyle w:val="1238"/>
              </w:rPr>
              <w:t xml:space="preserve">7.1.</w:t>
            </w:r>
            <w:r>
              <w:rPr>
                <w:rStyle w:val="1238"/>
                <w:rFonts w:asciiTheme="minorHAnsi" w:hAnsiTheme="minorHAnsi" w:eastAsiaTheme="minorEastAsia" w:cstheme="minorBidi"/>
                <w:smallCaps w:val="0"/>
                <w:sz w:val="22"/>
                <w:szCs w:val="22"/>
              </w:rPr>
              <w:tab/>
            </w:r>
            <w:r>
              <w:rPr>
                <w:rStyle w:val="1238"/>
              </w:rPr>
              <w:t xml:space="preserve">Закупочная комиссия</w:t>
            </w:r>
            <w:r>
              <w:fldChar w:fldCharType="begin"/>
            </w:r>
            <w:r>
              <w:instrText xml:space="preserve">PAGEREF _Toc236307217 \h</w:instrText>
            </w:r>
            <w:r/>
            <w:r>
              <w:fldChar w:fldCharType="separate"/>
            </w:r>
            <w:r>
              <w:rPr>
                <w:rStyle w:val="1238"/>
              </w:rPr>
              <w:tab/>
              <w:t xml:space="preserve">20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8" w:anchor="_Toc236307218" w:history="1">
            <w:r>
              <w:rPr>
                <w:rStyle w:val="1238"/>
              </w:rPr>
              <w:t xml:space="preserve">7.2.</w:t>
            </w:r>
            <w:r>
              <w:rPr>
                <w:rStyle w:val="1238"/>
                <w:rFonts w:asciiTheme="minorHAnsi" w:hAnsiTheme="minorHAnsi" w:eastAsiaTheme="minorEastAsia" w:cstheme="minorBidi"/>
                <w:smallCaps w:val="0"/>
                <w:sz w:val="22"/>
                <w:szCs w:val="22"/>
              </w:rPr>
              <w:tab/>
            </w:r>
            <w:r>
              <w:rPr>
                <w:rStyle w:val="1238"/>
              </w:rPr>
              <w:t xml:space="preserve">Требования к процедуре рассмотрения, оценки и сопоставления заявок участников закупки</w:t>
            </w:r>
            <w:r>
              <w:fldChar w:fldCharType="begin"/>
            </w:r>
            <w:r>
              <w:instrText xml:space="preserve">PAGEREF _Toc236307218 \h</w:instrText>
            </w:r>
            <w:r/>
            <w:r>
              <w:fldChar w:fldCharType="separate"/>
            </w:r>
            <w:r>
              <w:rPr>
                <w:rStyle w:val="1238"/>
              </w:rPr>
              <w:tab/>
              <w:t xml:space="preserve">20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19" w:anchor="_Toc236307219" w:history="1">
            <w:r>
              <w:rPr>
                <w:rStyle w:val="1238"/>
              </w:rPr>
              <w:t xml:space="preserve">7.3.</w:t>
            </w:r>
            <w:r>
              <w:rPr>
                <w:rStyle w:val="1238"/>
                <w:rFonts w:asciiTheme="minorHAnsi" w:hAnsiTheme="minorHAnsi" w:eastAsiaTheme="minorEastAsia" w:cstheme="minorBidi"/>
                <w:smallCaps w:val="0"/>
                <w:sz w:val="22"/>
                <w:szCs w:val="22"/>
              </w:rPr>
              <w:tab/>
            </w:r>
            <w:r>
              <w:rPr>
                <w:rStyle w:val="1238"/>
              </w:rPr>
              <w:t xml:space="preserve">Критерии оценки заявок участников закупки</w:t>
            </w:r>
            <w:r>
              <w:fldChar w:fldCharType="begin"/>
            </w:r>
            <w:r>
              <w:instrText xml:space="preserve">PAGEREF _Toc236307219 \h</w:instrText>
            </w:r>
            <w:r/>
            <w:r>
              <w:fldChar w:fldCharType="separate"/>
            </w:r>
            <w:r>
              <w:rPr>
                <w:rStyle w:val="1238"/>
              </w:rPr>
              <w:tab/>
              <w:t xml:space="preserve">21</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0" w:anchor="_Toc236307220" w:history="1">
            <w:r>
              <w:rPr>
                <w:rStyle w:val="1238"/>
              </w:rPr>
              <w:t xml:space="preserve">7.4.</w:t>
            </w:r>
            <w:r>
              <w:rPr>
                <w:rStyle w:val="1238"/>
                <w:rFonts w:asciiTheme="minorHAnsi" w:hAnsiTheme="minorHAnsi" w:eastAsiaTheme="minorEastAsia" w:cstheme="minorBidi"/>
                <w:smallCaps w:val="0"/>
                <w:sz w:val="22"/>
                <w:szCs w:val="22"/>
              </w:rPr>
              <w:tab/>
            </w:r>
            <w:r>
              <w:rPr>
                <w:rStyle w:val="1238"/>
              </w:rPr>
              <w:t xml:space="preserve">Особенности осуществления рассмотрения, оценки и сопоставления первых частей заявок</w:t>
            </w:r>
            <w:r>
              <w:fldChar w:fldCharType="begin"/>
            </w:r>
            <w:r>
              <w:instrText xml:space="preserve">PAGEREF _Toc236307220 \h</w:instrText>
            </w:r>
            <w:r/>
            <w:r>
              <w:fldChar w:fldCharType="separate"/>
            </w:r>
            <w:r>
              <w:rPr>
                <w:rStyle w:val="1238"/>
              </w:rPr>
              <w:tab/>
              <w:t xml:space="preserve">22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1" w:anchor="_Toc236307221" w:history="1">
            <w:r>
              <w:rPr>
                <w:rStyle w:val="1238"/>
              </w:rPr>
              <w:t xml:space="preserve">7.5.</w:t>
            </w:r>
            <w:r>
              <w:rPr>
                <w:rStyle w:val="1238"/>
                <w:rFonts w:asciiTheme="minorHAnsi" w:hAnsiTheme="minorHAnsi" w:eastAsiaTheme="minorEastAsia" w:cstheme="minorBidi"/>
                <w:smallCaps w:val="0"/>
                <w:sz w:val="22"/>
                <w:szCs w:val="22"/>
              </w:rPr>
              <w:tab/>
            </w:r>
            <w:r>
              <w:rPr>
                <w:rStyle w:val="1238"/>
              </w:rPr>
              <w:t xml:space="preserve">Особенности осуществления рассмотрения, оценки и сопоставления вторых частей заявок</w:t>
            </w:r>
            <w:r>
              <w:fldChar w:fldCharType="begin"/>
            </w:r>
            <w:r>
              <w:instrText xml:space="preserve">PAGEREF _Toc236307221 \h</w:instrText>
            </w:r>
            <w:r/>
            <w:r>
              <w:fldChar w:fldCharType="separate"/>
            </w:r>
            <w:r>
              <w:rPr>
                <w:rStyle w:val="1238"/>
              </w:rPr>
              <w:tab/>
              <w:t xml:space="preserve">22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2" w:anchor="_Toc236307222" w:history="1">
            <w:r>
              <w:rPr>
                <w:rStyle w:val="1238"/>
              </w:rPr>
              <w:t xml:space="preserve">7.6.</w:t>
            </w:r>
            <w:r>
              <w:rPr>
                <w:rStyle w:val="1238"/>
                <w:rFonts w:asciiTheme="minorHAnsi" w:hAnsiTheme="minorHAnsi" w:eastAsiaTheme="minorEastAsia" w:cstheme="minorBidi"/>
                <w:smallCaps w:val="0"/>
                <w:sz w:val="22"/>
                <w:szCs w:val="22"/>
              </w:rPr>
              <w:tab/>
            </w:r>
            <w:r>
              <w:rPr>
                <w:rStyle w:val="1238"/>
              </w:rPr>
              <w:t xml:space="preserve">Особенности осуществления рассмотрения, оценки и сопоставления ценовых предложений участников закупки</w:t>
            </w:r>
            <w:r>
              <w:fldChar w:fldCharType="begin"/>
            </w:r>
            <w:r>
              <w:instrText xml:space="preserve">PAGEREF _Toc236307222 \h</w:instrText>
            </w:r>
            <w:r/>
            <w:r>
              <w:fldChar w:fldCharType="separate"/>
            </w:r>
            <w:r>
              <w:rPr>
                <w:rStyle w:val="1238"/>
              </w:rPr>
              <w:tab/>
              <w:t xml:space="preserve">22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3" w:anchor="_Toc236307223" w:history="1">
            <w:r>
              <w:rPr>
                <w:rStyle w:val="1238"/>
              </w:rPr>
              <w:t xml:space="preserve">7.7.</w:t>
            </w:r>
            <w:r>
              <w:rPr>
                <w:rStyle w:val="1238"/>
                <w:rFonts w:asciiTheme="minorHAnsi" w:hAnsiTheme="minorHAnsi" w:eastAsiaTheme="minorEastAsia" w:cstheme="minorBidi"/>
                <w:smallCaps w:val="0"/>
                <w:sz w:val="22"/>
                <w:szCs w:val="22"/>
              </w:rPr>
              <w:tab/>
            </w:r>
            <w:r>
              <w:rPr>
                <w:rStyle w:val="1238"/>
              </w:rPr>
              <w:t xml:space="preserve">Признание закупки несостоявшейся</w:t>
            </w:r>
            <w:r>
              <w:fldChar w:fldCharType="begin"/>
            </w:r>
            <w:r>
              <w:instrText xml:space="preserve">PAGEREF _Toc236307223 \h</w:instrText>
            </w:r>
            <w:r/>
            <w:r>
              <w:fldChar w:fldCharType="separate"/>
            </w:r>
            <w:r>
              <w:rPr>
                <w:rStyle w:val="1238"/>
              </w:rPr>
              <w:tab/>
              <w:t xml:space="preserve">23</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4" w:anchor="_Toc236307224" w:history="1">
            <w:r>
              <w:rPr>
                <w:rStyle w:val="1238"/>
              </w:rPr>
              <w:t xml:space="preserve">7.8.</w:t>
            </w:r>
            <w:r>
              <w:rPr>
                <w:rStyle w:val="1238"/>
                <w:rFonts w:asciiTheme="minorHAnsi" w:hAnsiTheme="minorHAnsi" w:eastAsiaTheme="minorEastAsia" w:cstheme="minorBidi"/>
                <w:smallCaps w:val="0"/>
                <w:sz w:val="22"/>
                <w:szCs w:val="22"/>
              </w:rPr>
              <w:tab/>
            </w:r>
            <w:r>
              <w:rPr>
                <w:rStyle w:val="1238"/>
              </w:rPr>
              <w:t xml:space="preserve">Рассмотрение жалоб и обращений участников закупки</w:t>
            </w:r>
            <w:r>
              <w:fldChar w:fldCharType="begin"/>
            </w:r>
            <w:r>
              <w:instrText xml:space="preserve">PAGEREF _Toc236307224 \h</w:instrText>
            </w:r>
            <w:r/>
            <w:r>
              <w:fldChar w:fldCharType="separate"/>
            </w:r>
            <w:r>
              <w:rPr>
                <w:rStyle w:val="1238"/>
              </w:rPr>
              <w:tab/>
              <w:t xml:space="preserve">23</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25" w:anchor="_Toc236307225" w:history="1">
            <w:r>
              <w:rPr>
                <w:rStyle w:val="1238"/>
              </w:rPr>
              <w:t xml:space="preserve">8.</w:t>
            </w:r>
            <w:r>
              <w:rPr>
                <w:rStyle w:val="1238"/>
                <w:rFonts w:asciiTheme="minorHAnsi" w:hAnsiTheme="minorHAnsi" w:eastAsiaTheme="minorEastAsia" w:cstheme="minorBidi"/>
                <w:b w:val="0"/>
                <w:bCs w:val="0"/>
                <w:caps w:val="0"/>
                <w:sz w:val="22"/>
                <w:szCs w:val="22"/>
              </w:rPr>
              <w:tab/>
            </w:r>
            <w:r>
              <w:rPr>
                <w:rStyle w:val="1238"/>
              </w:rPr>
              <w:t xml:space="preserve">ЗАКЛЮЧЕНИЕ, ИЗМЕНЕНИЕ И РАСТОРЖЕНИЕ ДОГОВОРА</w:t>
            </w:r>
            <w:r>
              <w:fldChar w:fldCharType="begin"/>
            </w:r>
            <w:r>
              <w:instrText xml:space="preserve">PAGEREF _Toc236307225 \h</w:instrText>
            </w:r>
            <w:r/>
            <w:r>
              <w:fldChar w:fldCharType="separate"/>
            </w:r>
            <w:r>
              <w:rPr>
                <w:rStyle w:val="1238"/>
              </w:rPr>
              <w:tab/>
              <w:t xml:space="preserve">23</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26" w:anchor="_Toc236307226" w:history="1">
            <w:r>
              <w:rPr>
                <w:rStyle w:val="1238"/>
              </w:rPr>
              <w:t xml:space="preserve">8.1.</w:t>
            </w:r>
            <w:r>
              <w:rPr>
                <w:rStyle w:val="1238"/>
                <w:rFonts w:asciiTheme="minorHAnsi" w:hAnsiTheme="minorHAnsi" w:eastAsiaTheme="minorEastAsia" w:cstheme="minorBidi"/>
                <w:smallCaps w:val="0"/>
                <w:sz w:val="22"/>
                <w:szCs w:val="22"/>
              </w:rPr>
              <w:tab/>
            </w:r>
            <w:r>
              <w:rPr>
                <w:rStyle w:val="1238"/>
              </w:rPr>
              <w:t xml:space="preserve">Срок и порядок заключения договора</w:t>
            </w:r>
            <w:r>
              <w:fldChar w:fldCharType="begin"/>
            </w:r>
            <w:r>
              <w:instrText xml:space="preserve">PAGEREF _Toc236307226 \h</w:instrText>
            </w:r>
            <w:r/>
            <w:r>
              <w:fldChar w:fldCharType="separate"/>
            </w:r>
            <w:r>
              <w:rPr>
                <w:rStyle w:val="1238"/>
              </w:rPr>
              <w:tab/>
              <w:t xml:space="preserve">23</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7" w:anchor="_Toc236307227" w:history="1">
            <w:r>
              <w:rPr>
                <w:rStyle w:val="1238"/>
              </w:rPr>
              <w:t xml:space="preserve">8.2.</w:t>
            </w:r>
            <w:r>
              <w:rPr>
                <w:rStyle w:val="1238"/>
                <w:rFonts w:asciiTheme="minorHAnsi" w:hAnsiTheme="minorHAnsi" w:eastAsiaTheme="minorEastAsia" w:cstheme="minorBidi"/>
                <w:smallCaps w:val="0"/>
                <w:sz w:val="22"/>
                <w:szCs w:val="22"/>
              </w:rPr>
              <w:tab/>
            </w:r>
            <w:r>
              <w:rPr>
                <w:rStyle w:val="1238"/>
              </w:rPr>
              <w:t xml:space="preserve">Обеспечение исполнения договора, порядок предоставления такого обеспечения, требования к такому обеспечению</w:t>
            </w:r>
            <w:r>
              <w:fldChar w:fldCharType="begin"/>
            </w:r>
            <w:r>
              <w:instrText xml:space="preserve">PAGEREF _Toc236307227 \h</w:instrText>
            </w:r>
            <w:r/>
            <w:r>
              <w:fldChar w:fldCharType="separate"/>
            </w:r>
            <w:r>
              <w:rPr>
                <w:rStyle w:val="1238"/>
              </w:rPr>
              <w:tab/>
              <w:t xml:space="preserve">25</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8" w:anchor="_Toc236307228" w:history="1">
            <w:r>
              <w:rPr>
                <w:rStyle w:val="1238"/>
              </w:rPr>
              <w:t xml:space="preserve">8.3.</w:t>
            </w:r>
            <w:r>
              <w:rPr>
                <w:rStyle w:val="1238"/>
                <w:rFonts w:asciiTheme="minorHAnsi" w:hAnsiTheme="minorHAnsi" w:eastAsiaTheme="minorEastAsia" w:cstheme="minorBidi"/>
                <w:smallCaps w:val="0"/>
                <w:sz w:val="22"/>
                <w:szCs w:val="22"/>
              </w:rPr>
              <w:tab/>
            </w:r>
            <w:r>
              <w:rPr>
                <w:rStyle w:val="1238"/>
              </w:rPr>
              <w:t xml:space="preserve">Порядок предоставления обеспечения исполнения обязательств по договору в случае заключения договора по аномально низкой цене.</w:t>
            </w:r>
            <w:r>
              <w:fldChar w:fldCharType="begin"/>
            </w:r>
            <w:r>
              <w:instrText xml:space="preserve">PAGEREF _Toc236307228 \h</w:instrText>
            </w:r>
            <w:r/>
            <w:r>
              <w:fldChar w:fldCharType="separate"/>
            </w:r>
            <w:r>
              <w:rPr>
                <w:rStyle w:val="1238"/>
              </w:rPr>
              <w:tab/>
              <w:t xml:space="preserve">26</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29" w:anchor="_Toc236307229" w:history="1">
            <w:r>
              <w:rPr>
                <w:rStyle w:val="1238"/>
              </w:rPr>
              <w:t xml:space="preserve">8.4.</w:t>
            </w:r>
            <w:r>
              <w:rPr>
                <w:rStyle w:val="1238"/>
                <w:rFonts w:asciiTheme="minorHAnsi" w:hAnsiTheme="minorHAnsi" w:eastAsiaTheme="minorEastAsia" w:cstheme="minorBidi"/>
                <w:smallCaps w:val="0"/>
                <w:sz w:val="22"/>
                <w:szCs w:val="22"/>
              </w:rPr>
              <w:tab/>
            </w:r>
            <w:r>
              <w:rPr>
                <w:rStyle w:val="1238"/>
              </w:rPr>
              <w:t xml:space="preserve">Отказ от заключения договора</w:t>
            </w:r>
            <w:r>
              <w:fldChar w:fldCharType="begin"/>
            </w:r>
            <w:r>
              <w:instrText xml:space="preserve">PAGEREF _Toc236307229 \h</w:instrText>
            </w:r>
            <w:r/>
            <w:r>
              <w:fldChar w:fldCharType="separate"/>
            </w:r>
            <w:r>
              <w:rPr>
                <w:rStyle w:val="1238"/>
              </w:rPr>
              <w:tab/>
              <w:t xml:space="preserve">27</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0" w:anchor="_Toc236307230" w:history="1">
            <w:r>
              <w:rPr>
                <w:rStyle w:val="1238"/>
              </w:rPr>
              <w:t xml:space="preserve">8.5.</w:t>
            </w:r>
            <w:r>
              <w:rPr>
                <w:rStyle w:val="1238"/>
                <w:rFonts w:asciiTheme="minorHAnsi" w:hAnsiTheme="minorHAnsi" w:eastAsiaTheme="minorEastAsia" w:cstheme="minorBidi"/>
                <w:smallCaps w:val="0"/>
                <w:sz w:val="22"/>
                <w:szCs w:val="22"/>
              </w:rPr>
              <w:tab/>
            </w:r>
            <w:r>
              <w:rPr>
                <w:rStyle w:val="1238"/>
              </w:rPr>
              <w:t xml:space="preserve">Изменение и расторжение договора</w:t>
            </w:r>
            <w:r>
              <w:fldChar w:fldCharType="begin"/>
            </w:r>
            <w:r>
              <w:instrText xml:space="preserve">PAGEREF _Toc236307230 \h</w:instrText>
            </w:r>
            <w:r/>
            <w:r>
              <w:fldChar w:fldCharType="separate"/>
            </w:r>
            <w:r>
              <w:rPr>
                <w:rStyle w:val="1238"/>
              </w:rPr>
              <w:tab/>
              <w:t xml:space="preserve">28</w:t>
            </w:r>
            <w:r>
              <w:fldChar w:fldCharType="end"/>
            </w:r>
          </w:hyperlink>
          <w:r/>
          <w:r>
            <w:rPr>
              <w:rFonts w:asciiTheme="minorHAnsi" w:hAnsiTheme="minorHAnsi" w:eastAsiaTheme="minorEastAsia" w:cstheme="minorBidi"/>
              <w:smallCaps w:val="0"/>
              <w:sz w:val="22"/>
              <w:szCs w:val="22"/>
            </w:rPr>
          </w:r>
        </w:p>
        <w:p>
          <w:pPr>
            <w:pStyle w:val="1274"/>
            <w:tabs>
              <w:tab w:val="right" w:pos="9345" w:leader="dot"/>
            </w:tabs>
            <w:rPr>
              <w:rFonts w:asciiTheme="minorHAnsi" w:hAnsiTheme="minorHAnsi" w:eastAsiaTheme="minorEastAsia" w:cstheme="minorBidi"/>
              <w:b w:val="0"/>
              <w:bCs w:val="0"/>
              <w:caps w:val="0"/>
              <w:sz w:val="22"/>
              <w:szCs w:val="22"/>
            </w:rPr>
          </w:pPr>
          <w:r/>
          <w:hyperlink w:tooltip="#_Toc236307231" w:anchor="_Toc236307231" w:history="1">
            <w:r>
              <w:rPr>
                <w:rStyle w:val="1238"/>
                <w:lang w:val="en-US"/>
              </w:rPr>
              <w:t xml:space="preserve">II</w:t>
            </w:r>
            <w:r>
              <w:rPr>
                <w:rStyle w:val="1238"/>
              </w:rPr>
              <w:t xml:space="preserve">.ИНФОРМАЦИОННАЯ КАРТА ЗАКУПКИ</w:t>
            </w:r>
            <w:r>
              <w:fldChar w:fldCharType="begin"/>
            </w:r>
            <w:r>
              <w:instrText xml:space="preserve">PAGEREF _Toc236307231 \h</w:instrText>
            </w:r>
            <w:r/>
            <w:r>
              <w:fldChar w:fldCharType="separate"/>
            </w:r>
            <w:r>
              <w:rPr>
                <w:rStyle w:val="1238"/>
              </w:rPr>
              <w:tab/>
              <w:t xml:space="preserve">29</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32" w:anchor="_Toc236307232" w:history="1">
            <w:r>
              <w:fldChar w:fldCharType="begin"/>
            </w:r>
            <w:r>
              <w:instrText xml:space="preserve">PAGEREF _Toc236307232 \h</w:instrText>
            </w:r>
            <w:r/>
            <w:r>
              <w:fldChar w:fldCharType="separate"/>
            </w:r>
            <w:r>
              <w:rPr>
                <w:rStyle w:val="1238"/>
              </w:rPr>
              <w:t xml:space="preserve">Приложение № 1</w:t>
            </w:r>
            <w:r>
              <w:rPr>
                <w:rStyle w:val="1238"/>
              </w:rPr>
              <w:tab/>
              <w:t xml:space="preserve">37</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33" w:anchor="_Toc236307233" w:history="1">
            <w:r>
              <w:rPr>
                <w:rStyle w:val="1238"/>
              </w:rPr>
              <w:t xml:space="preserve">3.</w:t>
            </w:r>
            <w:r>
              <w:rPr>
                <w:rStyle w:val="1238"/>
                <w:rFonts w:asciiTheme="minorHAnsi" w:hAnsiTheme="minorHAnsi" w:eastAsiaTheme="minorEastAsia" w:cstheme="minorBidi"/>
                <w:b w:val="0"/>
                <w:bCs w:val="0"/>
                <w:caps w:val="0"/>
                <w:sz w:val="22"/>
                <w:szCs w:val="22"/>
              </w:rPr>
              <w:tab/>
            </w:r>
            <w:r>
              <w:rPr>
                <w:rStyle w:val="1238"/>
              </w:rPr>
              <w:t xml:space="preserve">ОБРАЗЦЫ ФОРМ ДЛЯ ЗАПОЛНЕНИЯ УЧАСТНИКАМИ ЗАКУПКИ</w:t>
            </w:r>
            <w:r>
              <w:fldChar w:fldCharType="begin"/>
            </w:r>
            <w:r>
              <w:instrText xml:space="preserve">PAGEREF _Toc236307233 \h</w:instrText>
            </w:r>
            <w:r/>
            <w:r>
              <w:fldChar w:fldCharType="separate"/>
            </w:r>
            <w:r>
              <w:rPr>
                <w:rStyle w:val="1238"/>
              </w:rPr>
              <w:tab/>
              <w:t xml:space="preserve">40</w:t>
            </w:r>
            <w:r>
              <w:fldChar w:fldCharType="end"/>
            </w:r>
          </w:hyperlink>
          <w:r/>
          <w:r>
            <w:rPr>
              <w:rFonts w:asciiTheme="minorHAnsi" w:hAnsiTheme="minorHAnsi" w:eastAsiaTheme="minorEastAsia" w:cstheme="minorBidi"/>
              <w:b w:val="0"/>
              <w:bCs w:val="0"/>
              <w:caps w:val="0"/>
              <w:sz w:val="22"/>
              <w:szCs w:val="22"/>
            </w:rPr>
          </w:r>
        </w:p>
        <w:p>
          <w:pPr>
            <w:pStyle w:val="1275"/>
            <w:rPr>
              <w:rFonts w:asciiTheme="minorHAnsi" w:hAnsiTheme="minorHAnsi" w:eastAsiaTheme="minorEastAsia" w:cstheme="minorBidi"/>
              <w:smallCaps w:val="0"/>
              <w:sz w:val="22"/>
              <w:szCs w:val="22"/>
            </w:rPr>
          </w:pPr>
          <w:r/>
          <w:hyperlink w:tooltip="#_Toc236307234" w:anchor="_Toc236307234" w:history="1">
            <w:r>
              <w:fldChar w:fldCharType="begin"/>
            </w:r>
            <w:r>
              <w:instrText xml:space="preserve">PAGEREF _Toc236307234 \h</w:instrText>
            </w:r>
            <w:r/>
            <w:r>
              <w:fldChar w:fldCharType="separate"/>
            </w:r>
            <w:r>
              <w:rPr>
                <w:rStyle w:val="1238"/>
              </w:rPr>
              <w:t xml:space="preserve">I ЧАСТЬ ЗАЯВКИ</w:t>
            </w:r>
            <w:r>
              <w:rPr>
                <w:rStyle w:val="1238"/>
              </w:rPr>
              <w:tab/>
              <w:t xml:space="preserve">40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5" w:anchor="_Toc236307235" w:history="1">
            <w:r>
              <w:rPr>
                <w:rStyle w:val="1238"/>
              </w:rPr>
              <w:t xml:space="preserve">Форма № 1</w:t>
            </w:r>
            <w:r>
              <w:rPr>
                <w:rStyle w:val="1238"/>
                <w:rFonts w:asciiTheme="minorHAnsi" w:hAnsiTheme="minorHAnsi" w:eastAsiaTheme="minorEastAsia" w:cstheme="minorBidi"/>
                <w:smallCaps w:val="0"/>
                <w:sz w:val="22"/>
                <w:szCs w:val="22"/>
              </w:rPr>
              <w:tab/>
            </w:r>
            <w:r>
              <w:rPr>
                <w:rStyle w:val="1238"/>
              </w:rPr>
              <w:t xml:space="preserve">Предложение участника закупки в отношении предмета закупки</w:t>
            </w:r>
            <w:r>
              <w:fldChar w:fldCharType="begin"/>
            </w:r>
            <w:r>
              <w:instrText xml:space="preserve">PAGEREF _Toc236307235 \h</w:instrText>
            </w:r>
            <w:r/>
            <w:r>
              <w:fldChar w:fldCharType="separate"/>
            </w:r>
            <w:r>
              <w:rPr>
                <w:rStyle w:val="1238"/>
              </w:rPr>
              <w:tab/>
              <w:t xml:space="preserve">40</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6" w:anchor="_Toc236307236" w:history="1">
            <w:r>
              <w:rPr>
                <w:rStyle w:val="1238"/>
                <w:lang w:val="en-US"/>
              </w:rPr>
              <w:t xml:space="preserve">II</w:t>
            </w:r>
            <w:r>
              <w:rPr>
                <w:rStyle w:val="1238"/>
              </w:rPr>
              <w:t xml:space="preserve"> ЧАСТЬ ЗАЯВКИ</w:t>
            </w:r>
            <w:r>
              <w:fldChar w:fldCharType="begin"/>
            </w:r>
            <w:r>
              <w:instrText xml:space="preserve">PAGEREF _Toc236307236 \h</w:instrText>
            </w:r>
            <w:r/>
            <w:r>
              <w:fldChar w:fldCharType="separate"/>
            </w:r>
            <w:r>
              <w:rPr>
                <w:rStyle w:val="1238"/>
              </w:rPr>
              <w:tab/>
              <w:t xml:space="preserve">41</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7" w:anchor="_Toc236307237" w:history="1">
            <w:r>
              <w:rPr>
                <w:rStyle w:val="1238"/>
              </w:rPr>
              <w:t xml:space="preserve">Форма № 2</w:t>
            </w:r>
            <w:r>
              <w:rPr>
                <w:rStyle w:val="1238"/>
                <w:rFonts w:asciiTheme="minorHAnsi" w:hAnsiTheme="minorHAnsi" w:eastAsiaTheme="minorEastAsia" w:cstheme="minorBidi"/>
                <w:smallCaps w:val="0"/>
                <w:sz w:val="22"/>
                <w:szCs w:val="22"/>
              </w:rPr>
              <w:tab/>
            </w:r>
            <w:r>
              <w:rPr>
                <w:rStyle w:val="1238"/>
              </w:rPr>
              <w:t xml:space="preserve">СВЕДЕНИЯ ОБ УЧАСТНИКЕ ЗАКУПКИ</w:t>
            </w:r>
            <w:r>
              <w:fldChar w:fldCharType="begin"/>
            </w:r>
            <w:r>
              <w:instrText xml:space="preserve">PAGEREF _Toc236307237 \h</w:instrText>
            </w:r>
            <w:r/>
            <w:r>
              <w:fldChar w:fldCharType="separate"/>
            </w:r>
            <w:r>
              <w:rPr>
                <w:rStyle w:val="1238"/>
              </w:rPr>
              <w:tab/>
              <w:t xml:space="preserve">41</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8" w:anchor="_Toc236307238" w:history="1">
            <w:r>
              <w:rPr>
                <w:rStyle w:val="1238"/>
              </w:rPr>
              <w:t xml:space="preserve">Форма № 3</w:t>
            </w:r>
            <w:r>
              <w:rPr>
                <w:rStyle w:val="1238"/>
                <w:rFonts w:asciiTheme="minorHAnsi" w:hAnsiTheme="minorHAnsi" w:eastAsiaTheme="minorEastAsia" w:cstheme="minorBidi"/>
                <w:smallCaps w:val="0"/>
                <w:sz w:val="22"/>
                <w:szCs w:val="22"/>
              </w:rPr>
              <w:tab/>
            </w:r>
            <w:r>
              <w:rPr>
                <w:rStyle w:val="1238"/>
              </w:rPr>
              <w:t xml:space="preserve">Форма независимой гарантии, предоставляемой в качестве обеспечения заявки на участие в конкурентной закупке товаров, работ, услуг в электронной форме, участниками которой могут быть только субъекты малого и среднего предпринимательства</w:t>
            </w:r>
            <w:r>
              <w:fldChar w:fldCharType="begin"/>
            </w:r>
            <w:r>
              <w:instrText xml:space="preserve">PAGEREF _Toc236307238 \h</w:instrText>
            </w:r>
            <w:r/>
            <w:r>
              <w:fldChar w:fldCharType="separate"/>
            </w:r>
            <w:r>
              <w:rPr>
                <w:rStyle w:val="1238"/>
              </w:rPr>
              <w:tab/>
              <w:t xml:space="preserve">42</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39" w:anchor="_Toc236307239" w:history="1">
            <w:r>
              <w:rPr>
                <w:rStyle w:val="1238"/>
              </w:rPr>
              <w:t xml:space="preserve">Форма № 4</w:t>
            </w:r>
            <w:r>
              <w:rPr>
                <w:rStyle w:val="1238"/>
                <w:rFonts w:asciiTheme="minorHAnsi" w:hAnsiTheme="minorHAnsi" w:eastAsiaTheme="minorEastAsia" w:cstheme="minorBidi"/>
                <w:smallCaps w:val="0"/>
                <w:sz w:val="22"/>
                <w:szCs w:val="22"/>
              </w:rPr>
              <w:tab/>
            </w:r>
            <w:r>
              <w:rPr>
                <w:rStyle w:val="1238"/>
              </w:rPr>
              <w:t xml:space="preserve">Согласие на обработку персональных данных</w:t>
            </w:r>
            <w:r>
              <w:fldChar w:fldCharType="begin"/>
            </w:r>
            <w:r>
              <w:instrText xml:space="preserve">PAGEREF _Toc236307239 \h</w:instrText>
            </w:r>
            <w:r/>
            <w:r>
              <w:fldChar w:fldCharType="separate"/>
            </w:r>
            <w:r>
              <w:rPr>
                <w:rStyle w:val="1238"/>
              </w:rPr>
              <w:tab/>
              <w:t xml:space="preserve">46</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40" w:anchor="_Toc236307240" w:history="1">
            <w:r>
              <w:fldChar w:fldCharType="begin"/>
            </w:r>
            <w:r>
              <w:instrText xml:space="preserve">PAGEREF _Toc236307240 \h</w:instrText>
            </w:r>
            <w:r/>
            <w:r>
              <w:fldChar w:fldCharType="separate"/>
            </w:r>
            <w:r>
              <w:rPr>
                <w:rStyle w:val="1238"/>
              </w:rPr>
              <w:t xml:space="preserve">Форма № 6. Справка о наличии кадровых ресурсов</w:t>
            </w:r>
            <w:r>
              <w:rPr>
                <w:rStyle w:val="1238"/>
              </w:rPr>
              <w:tab/>
              <w:t xml:space="preserve">47</w:t>
            </w:r>
            <w:r>
              <w:fldChar w:fldCharType="end"/>
            </w:r>
          </w:hyperlink>
          <w:r/>
          <w:r>
            <w:rPr>
              <w:rFonts w:asciiTheme="minorHAnsi" w:hAnsiTheme="minorHAnsi" w:eastAsiaTheme="minorEastAsia" w:cstheme="minorBidi"/>
              <w:smallCaps w:val="0"/>
              <w:sz w:val="22"/>
              <w:szCs w:val="22"/>
            </w:rPr>
          </w:r>
        </w:p>
        <w:p>
          <w:pPr>
            <w:pStyle w:val="1275"/>
            <w:rPr>
              <w:rFonts w:asciiTheme="minorHAnsi" w:hAnsiTheme="minorHAnsi" w:eastAsiaTheme="minorEastAsia" w:cstheme="minorBidi"/>
              <w:smallCaps w:val="0"/>
              <w:sz w:val="22"/>
              <w:szCs w:val="22"/>
            </w:rPr>
          </w:pPr>
          <w:r/>
          <w:hyperlink w:tooltip="#_Toc236307241" w:anchor="_Toc236307241" w:history="1">
            <w:r>
              <w:fldChar w:fldCharType="begin"/>
            </w:r>
            <w:r>
              <w:instrText xml:space="preserve">PAGEREF _Toc236307241 \h</w:instrText>
            </w:r>
            <w:r/>
            <w:r>
              <w:fldChar w:fldCharType="separate"/>
            </w:r>
            <w:r>
              <w:rPr>
                <w:rStyle w:val="1238"/>
              </w:rPr>
              <w:t xml:space="preserve">Форма № 7. ПРЕДЛОЖЕНИЕ О ЦЕНЕ ДОГОВОРА</w:t>
            </w:r>
            <w:r>
              <w:rPr>
                <w:rStyle w:val="1238"/>
              </w:rPr>
              <w:tab/>
              <w:t xml:space="preserve">48</w:t>
            </w:r>
            <w:r>
              <w:fldChar w:fldCharType="end"/>
            </w:r>
          </w:hyperlink>
          <w:r/>
          <w:r>
            <w:rPr>
              <w:rFonts w:asciiTheme="minorHAnsi" w:hAnsiTheme="minorHAnsi" w:eastAsiaTheme="minorEastAsia" w:cstheme="minorBidi"/>
              <w:small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42" w:anchor="_Toc236307242" w:history="1">
            <w:r>
              <w:rPr>
                <w:rStyle w:val="1238"/>
              </w:rPr>
              <w:t xml:space="preserve">4.</w:t>
            </w:r>
            <w:r>
              <w:rPr>
                <w:rStyle w:val="1238"/>
                <w:rFonts w:asciiTheme="minorHAnsi" w:hAnsiTheme="minorHAnsi" w:eastAsiaTheme="minorEastAsia" w:cstheme="minorBidi"/>
                <w:b w:val="0"/>
                <w:bCs w:val="0"/>
                <w:caps w:val="0"/>
                <w:sz w:val="22"/>
                <w:szCs w:val="22"/>
              </w:rPr>
              <w:tab/>
            </w:r>
            <w:r>
              <w:rPr>
                <w:rStyle w:val="1238"/>
              </w:rPr>
              <w:t xml:space="preserve">ПРОЕКТ ДОГОВОРА</w:t>
            </w:r>
            <w:r>
              <w:fldChar w:fldCharType="begin"/>
            </w:r>
            <w:r>
              <w:instrText xml:space="preserve">PAGEREF _Toc236307242 \h</w:instrText>
            </w:r>
            <w:r/>
            <w:r>
              <w:fldChar w:fldCharType="separate"/>
            </w:r>
            <w:r>
              <w:rPr>
                <w:rStyle w:val="1238"/>
              </w:rPr>
              <w:tab/>
              <w:t xml:space="preserve">49</w:t>
            </w:r>
            <w:r>
              <w:fldChar w:fldCharType="end"/>
            </w:r>
          </w:hyperlink>
          <w:r/>
          <w:r>
            <w:rPr>
              <w:rFonts w:asciiTheme="minorHAnsi" w:hAnsiTheme="minorHAnsi" w:eastAsiaTheme="minorEastAsia" w:cstheme="minorBidi"/>
              <w:b w:val="0"/>
              <w:bCs w:val="0"/>
              <w: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43" w:anchor="_Toc236307243" w:history="1">
            <w:r>
              <w:rPr>
                <w:rStyle w:val="1238"/>
              </w:rPr>
              <w:t xml:space="preserve">5.</w:t>
            </w:r>
            <w:r>
              <w:rPr>
                <w:rStyle w:val="1238"/>
                <w:rFonts w:asciiTheme="minorHAnsi" w:hAnsiTheme="minorHAnsi" w:eastAsiaTheme="minorEastAsia" w:cstheme="minorBidi"/>
                <w:b w:val="0"/>
                <w:bCs w:val="0"/>
                <w:caps w:val="0"/>
                <w:sz w:val="22"/>
                <w:szCs w:val="22"/>
              </w:rPr>
              <w:tab/>
            </w:r>
            <w:r>
              <w:rPr>
                <w:rStyle w:val="1238"/>
              </w:rPr>
              <w:t xml:space="preserve">ТЕХНИЧЕСКАЯ ЧАСТЬ</w:t>
            </w:r>
            <w:r>
              <w:fldChar w:fldCharType="begin"/>
            </w:r>
            <w:r>
              <w:instrText xml:space="preserve">PAGEREF _Toc236307243 \h</w:instrText>
            </w:r>
            <w:r/>
            <w:r>
              <w:fldChar w:fldCharType="separate"/>
            </w:r>
            <w:r>
              <w:rPr>
                <w:rStyle w:val="1238"/>
              </w:rPr>
              <w:tab/>
              <w:t xml:space="preserve">49</w:t>
            </w:r>
            <w:r>
              <w:fldChar w:fldCharType="end"/>
            </w:r>
          </w:hyperlink>
          <w:r/>
          <w:r>
            <w:rPr>
              <w:rFonts w:asciiTheme="minorHAnsi" w:hAnsiTheme="minorHAnsi" w:eastAsiaTheme="minorEastAsia" w:cstheme="minorBidi"/>
              <w:b w:val="0"/>
              <w:bCs w:val="0"/>
              <w:caps w:val="0"/>
              <w:sz w:val="22"/>
              <w:szCs w:val="22"/>
            </w:rPr>
          </w:r>
        </w:p>
        <w:p>
          <w:pPr>
            <w:pStyle w:val="1274"/>
            <w:tabs>
              <w:tab w:val="left" w:pos="480" w:leader="none"/>
              <w:tab w:val="right" w:pos="9345" w:leader="dot"/>
            </w:tabs>
            <w:rPr>
              <w:rFonts w:asciiTheme="minorHAnsi" w:hAnsiTheme="minorHAnsi" w:eastAsiaTheme="minorEastAsia" w:cstheme="minorBidi"/>
              <w:b w:val="0"/>
              <w:bCs w:val="0"/>
              <w:caps w:val="0"/>
              <w:sz w:val="22"/>
              <w:szCs w:val="22"/>
            </w:rPr>
          </w:pPr>
          <w:r/>
          <w:hyperlink w:tooltip="#_Toc236307244" w:anchor="_Toc236307244" w:history="1">
            <w:r>
              <w:rPr>
                <w:rStyle w:val="1238"/>
              </w:rPr>
              <w:t xml:space="preserve">6.</w:t>
            </w:r>
            <w:r>
              <w:rPr>
                <w:rStyle w:val="1238"/>
                <w:rFonts w:asciiTheme="minorHAnsi" w:hAnsiTheme="minorHAnsi" w:eastAsiaTheme="minorEastAsia" w:cstheme="minorBidi"/>
                <w:b w:val="0"/>
                <w:bCs w:val="0"/>
                <w:caps w:val="0"/>
                <w:sz w:val="22"/>
                <w:szCs w:val="22"/>
              </w:rPr>
              <w:tab/>
            </w:r>
            <w:r>
              <w:rPr>
                <w:rStyle w:val="1238"/>
              </w:rPr>
              <w:t xml:space="preserve">ОБОСНОВАНИЕ НАЧАЛЬНОЙ (МАКСИМАЛЬНОЙ) ЦЕНЫ ДОГОВОРА</w:t>
            </w:r>
            <w:r>
              <w:fldChar w:fldCharType="begin"/>
            </w:r>
            <w:r>
              <w:instrText xml:space="preserve">PAGEREF _Toc236307244 \h</w:instrText>
            </w:r>
            <w:r/>
            <w:r>
              <w:fldChar w:fldCharType="separate"/>
            </w:r>
            <w:r>
              <w:rPr>
                <w:rStyle w:val="1238"/>
              </w:rPr>
              <w:tab/>
              <w:t xml:space="preserve">49</w:t>
            </w:r>
            <w:r>
              <w:fldChar w:fldCharType="end"/>
            </w:r>
          </w:hyperlink>
          <w:r>
            <w:rPr>
              <w:rStyle w:val="1238"/>
            </w:rPr>
            <w:fldChar w:fldCharType="end"/>
          </w:r>
          <w:r>
            <w:rPr>
              <w:rFonts w:asciiTheme="minorHAnsi" w:hAnsiTheme="minorHAnsi" w:eastAsiaTheme="minorEastAsia" w:cstheme="minorBidi"/>
              <w:b w:val="0"/>
              <w:bCs w:val="0"/>
              <w:caps w:val="0"/>
              <w:sz w:val="22"/>
              <w:szCs w:val="22"/>
            </w:rPr>
          </w:r>
        </w:p>
      </w:sdtContent>
    </w:sdt>
    <w:p>
      <w:pPr>
        <w:pStyle w:val="1274"/>
        <w:tabs>
          <w:tab w:val="left" w:pos="720" w:leader="none"/>
          <w:tab w:val="right" w:pos="9345" w:leader="dot"/>
        </w:tabs>
      </w:pPr>
      <w:r/>
      <w:r/>
    </w:p>
    <w:p>
      <w:pPr>
        <w:jc w:val="left"/>
        <w:spacing w:after="0"/>
        <w:rPr>
          <w:rStyle w:val="1206"/>
          <w:caps/>
          <w:sz w:val="24"/>
          <w:szCs w:val="24"/>
        </w:rPr>
      </w:pPr>
      <w:r/>
      <w:bookmarkStart w:id="2" w:name="_Toc224649952"/>
      <w:r>
        <w:br w:type="page" w:clear="all"/>
      </w:r>
      <w:r>
        <w:rPr>
          <w:rStyle w:val="1206"/>
          <w:caps/>
          <w:sz w:val="24"/>
          <w:szCs w:val="24"/>
        </w:rPr>
      </w:r>
    </w:p>
    <w:p>
      <w:pPr>
        <w:pStyle w:val="1116"/>
        <w:ind w:left="567" w:firstLine="0"/>
        <w:jc w:val="both"/>
        <w:keepNext w:val="0"/>
        <w:spacing w:before="0" w:after="120"/>
        <w:rPr>
          <w:rStyle w:val="1206"/>
          <w:b/>
          <w:bCs/>
          <w:caps/>
          <w:sz w:val="24"/>
          <w:szCs w:val="24"/>
        </w:rPr>
      </w:pPr>
      <w:r>
        <w:rPr>
          <w:b/>
          <w:bCs/>
          <w:caps/>
          <w:sz w:val="24"/>
          <w:szCs w:val="24"/>
        </w:rPr>
      </w:r>
      <w:r>
        <w:rPr>
          <w:rStyle w:val="1206"/>
          <w:b/>
          <w:bCs/>
          <w:caps/>
          <w:sz w:val="24"/>
          <w:szCs w:val="24"/>
        </w:rPr>
      </w:r>
    </w:p>
    <w:p>
      <w:pPr>
        <w:pStyle w:val="1116"/>
        <w:numPr>
          <w:ilvl w:val="0"/>
          <w:numId w:val="6"/>
        </w:numPr>
        <w:ind w:left="0" w:firstLine="567"/>
        <w:keepNext w:val="0"/>
        <w:spacing w:before="0" w:after="120"/>
        <w:rPr>
          <w:rStyle w:val="1206"/>
          <w:b/>
          <w:bCs/>
          <w:caps/>
          <w:sz w:val="24"/>
          <w:szCs w:val="24"/>
        </w:rPr>
      </w:pPr>
      <w:r/>
      <w:bookmarkStart w:id="3" w:name="_Ref166642713"/>
      <w:r/>
      <w:bookmarkStart w:id="4" w:name="_Toc236307183"/>
      <w:r>
        <w:rPr>
          <w:rStyle w:val="1206"/>
          <w:b/>
          <w:bCs/>
          <w:caps/>
          <w:sz w:val="24"/>
          <w:szCs w:val="24"/>
        </w:rPr>
        <w:t xml:space="preserve">ОБЩИЕ УСЛОВИЯ ПРОВЕДЕНИЯ </w:t>
      </w:r>
      <w:bookmarkEnd w:id="3"/>
      <w:r>
        <w:rPr>
          <w:rStyle w:val="1206"/>
          <w:b/>
          <w:bCs/>
          <w:caps/>
          <w:sz w:val="24"/>
          <w:szCs w:val="24"/>
        </w:rPr>
        <w:t xml:space="preserve">закупки</w:t>
      </w:r>
      <w:bookmarkEnd w:id="2"/>
      <w:r/>
      <w:bookmarkEnd w:id="4"/>
      <w:r/>
      <w:r>
        <w:rPr>
          <w:rStyle w:val="1206"/>
          <w:b/>
          <w:bCs/>
          <w:caps/>
          <w:sz w:val="24"/>
          <w:szCs w:val="24"/>
        </w:rPr>
      </w:r>
    </w:p>
    <w:p>
      <w:pPr>
        <w:pStyle w:val="1116"/>
        <w:numPr>
          <w:ilvl w:val="0"/>
          <w:numId w:val="1"/>
        </w:numPr>
        <w:ind w:left="0" w:firstLine="567"/>
        <w:jc w:val="both"/>
        <w:keepNext w:val="0"/>
        <w:spacing w:before="0" w:after="120"/>
        <w:rPr>
          <w:sz w:val="24"/>
          <w:szCs w:val="24"/>
        </w:rPr>
      </w:pPr>
      <w:r/>
      <w:bookmarkStart w:id="5" w:name="_Toc123405451"/>
      <w:r/>
      <w:bookmarkStart w:id="6" w:name="_Toc166101206"/>
      <w:r/>
      <w:bookmarkStart w:id="7" w:name="_Ref166101247"/>
      <w:r/>
      <w:bookmarkStart w:id="8" w:name="_Ref166101251"/>
      <w:r/>
      <w:bookmarkStart w:id="9" w:name="_Toc126935818"/>
      <w:r/>
      <w:bookmarkStart w:id="10" w:name="_Toc132974733"/>
      <w:r/>
      <w:bookmarkStart w:id="11" w:name="_Toc224649953"/>
      <w:r/>
      <w:bookmarkStart w:id="12" w:name="_Toc236307184"/>
      <w:r>
        <w:rPr>
          <w:sz w:val="24"/>
          <w:szCs w:val="24"/>
        </w:rPr>
        <w:t xml:space="preserve">ОБЩИЕ ПОЛОЖЕНИЯ</w:t>
      </w:r>
      <w:bookmarkEnd w:id="5"/>
      <w:r/>
      <w:bookmarkEnd w:id="6"/>
      <w:r/>
      <w:bookmarkEnd w:id="7"/>
      <w:r/>
      <w:bookmarkEnd w:id="8"/>
      <w:r/>
      <w:bookmarkEnd w:id="9"/>
      <w:r/>
      <w:bookmarkEnd w:id="10"/>
      <w:r/>
      <w:bookmarkEnd w:id="11"/>
      <w:r/>
      <w:bookmarkEnd w:id="12"/>
      <w:r/>
      <w:r>
        <w:rPr>
          <w:sz w:val="24"/>
          <w:szCs w:val="24"/>
        </w:rPr>
      </w:r>
    </w:p>
    <w:p>
      <w:pPr>
        <w:pStyle w:val="1117"/>
        <w:numPr>
          <w:ilvl w:val="1"/>
          <w:numId w:val="1"/>
        </w:numPr>
        <w:ind w:left="0" w:firstLine="709"/>
        <w:jc w:val="left"/>
        <w:keepNext w:val="0"/>
        <w:spacing w:after="120"/>
        <w:rPr>
          <w:sz w:val="24"/>
          <w:szCs w:val="24"/>
        </w:rPr>
      </w:pPr>
      <w:r/>
      <w:bookmarkStart w:id="13" w:name="_Toc132974734"/>
      <w:r/>
      <w:bookmarkStart w:id="14" w:name="_Toc126935819"/>
      <w:r/>
      <w:bookmarkStart w:id="15" w:name="_Toc224649954"/>
      <w:r/>
      <w:bookmarkStart w:id="16" w:name="_Toc236307185"/>
      <w:r>
        <w:rPr>
          <w:sz w:val="24"/>
          <w:szCs w:val="24"/>
        </w:rPr>
        <w:t xml:space="preserve">Правовой статус документов</w:t>
      </w:r>
      <w:bookmarkEnd w:id="13"/>
      <w:r/>
      <w:bookmarkEnd w:id="14"/>
      <w:r/>
      <w:bookmarkEnd w:id="15"/>
      <w:r/>
      <w:bookmarkEnd w:id="16"/>
      <w:r/>
      <w:r>
        <w:rPr>
          <w:sz w:val="24"/>
          <w:szCs w:val="24"/>
        </w:rPr>
      </w:r>
    </w:p>
    <w:p>
      <w:pPr>
        <w:pStyle w:val="1352"/>
        <w:numPr>
          <w:ilvl w:val="2"/>
          <w:numId w:val="1"/>
        </w:numPr>
        <w:ind w:left="142" w:firstLine="567"/>
        <w:jc w:val="both"/>
        <w:spacing w:after="120"/>
      </w:pPr>
      <w:r/>
      <w:bookmarkStart w:id="17" w:name="_Ref11225299"/>
      <w:r/>
      <w:bookmarkStart w:id="18" w:name="_Ref119427085"/>
      <w:r/>
      <w:bookmarkEnd w:id="17"/>
      <w:r>
        <w:t xml:space="preserve">Настоящая документация о закупке подготовлена в соответствии </w:t>
      </w:r>
      <w:bookmarkEnd w:id="18"/>
      <w:r>
        <w:t xml:space="preserve">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w:t>
      </w:r>
      <w:r>
        <w:t xml:space="preserve">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Единого стандарта закупок Публичного акционерного общества «Федеральная сетевая компания – </w:t>
      </w:r>
      <w:r>
        <w:t xml:space="preserve">Россети</w:t>
      </w:r>
      <w:r>
        <w:t xml:space="preserve">» (далее</w:t>
      </w:r>
      <w:r>
        <w:t xml:space="preserve"> – </w:t>
      </w:r>
      <w:r>
        <w:t xml:space="preserve">Стандарт, Положение о закупке), утвержденного решением Совета Директоров ПАО «</w:t>
      </w:r>
      <w:r>
        <w:t xml:space="preserve">Россети</w:t>
      </w:r>
      <w:r>
        <w:t xml:space="preserve">» (протокол от 30.12.2022 № 604).</w:t>
      </w:r>
      <w:r/>
    </w:p>
    <w:p>
      <w:pPr>
        <w:pStyle w:val="1352"/>
        <w:numPr>
          <w:ilvl w:val="2"/>
          <w:numId w:val="1"/>
        </w:numPr>
        <w:ind w:left="142" w:firstLine="567"/>
        <w:jc w:val="both"/>
        <w:spacing w:after="120"/>
      </w:pPr>
      <w:r>
        <w:t xml:space="preserve">Термины и определения, применяемые в настоящей документации о закупке и приложениях к ней, ис</w:t>
      </w:r>
      <w:r>
        <w:t xml:space="preserve">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 если настоящей документацией о закупке не установлено иное.</w:t>
      </w:r>
      <w:r/>
    </w:p>
    <w:p>
      <w:pPr>
        <w:pStyle w:val="1352"/>
        <w:numPr>
          <w:ilvl w:val="2"/>
          <w:numId w:val="1"/>
        </w:numPr>
        <w:ind w:left="142" w:firstLine="567"/>
        <w:jc w:val="both"/>
        <w:spacing w:after="120"/>
      </w:pPr>
      <w:r>
        <w:t xml:space="preserve">Извещение о закупке и настоящая документация о закупке, размещенные Заказчиком в Единой информационной системе в сфере закупок товаров, рабо</w:t>
      </w:r>
      <w:r>
        <w:t xml:space="preserve">т, услуг для обеспечения государственных и муниципальных нужд (далее – единая информационная система, ЕИС), являются офертой Заказчика и должны рассматриваться участниками закупки в соответствии с этим в течение срока, определенного для проведения закупки.</w:t>
      </w:r>
      <w:r/>
    </w:p>
    <w:p>
      <w:pPr>
        <w:pStyle w:val="1352"/>
        <w:numPr>
          <w:ilvl w:val="2"/>
          <w:numId w:val="1"/>
        </w:numPr>
        <w:ind w:left="142" w:firstLine="567"/>
        <w:jc w:val="both"/>
        <w:spacing w:after="120"/>
      </w:pPr>
      <w:r>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Заказчиком в соответствии с этим.</w:t>
      </w:r>
      <w:r/>
    </w:p>
    <w:p>
      <w:pPr>
        <w:pStyle w:val="1352"/>
        <w:numPr>
          <w:ilvl w:val="2"/>
          <w:numId w:val="1"/>
        </w:numPr>
        <w:ind w:left="142" w:firstLine="567"/>
        <w:jc w:val="both"/>
        <w:spacing w:after="120"/>
      </w:pPr>
      <w:r>
        <w:t xml:space="preserve">Во всем, что не урегулировано извещением о закупке и</w:t>
      </w:r>
      <w:r>
        <w:t xml:space="preserve">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Заказчика. Заказчик информирует участников закупки о том, что в АО «</w:t>
      </w:r>
      <w:r>
        <w:t xml:space="preserve">Россети</w:t>
      </w:r>
      <w:r>
        <w:t xml:space="preserve"> Цифра» утвержден Кодекс поставщика АО «</w:t>
      </w:r>
      <w:r>
        <w:t xml:space="preserve">Россети</w:t>
      </w:r>
      <w:r>
        <w:t xml:space="preserve"> Цифра» (далее – Кодекс), которым установлены базовые р</w:t>
      </w:r>
      <w:r>
        <w:t xml:space="preserve">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АО «</w:t>
      </w:r>
      <w:r>
        <w:t xml:space="preserve">Россети</w:t>
      </w:r>
      <w:r>
        <w:t xml:space="preserve"> Цифра» в части применения ими в своей деятельности изложенных в Кодексе принципов и подходов. Указанный документ размещен в сети Интернет по адресу:  </w:t>
      </w:r>
      <w:hyperlink r:id="rId36" w:tooltip="https://rosseti.digital/purchases/27/" w:history="1">
        <w:r>
          <w:rPr>
            <w:rStyle w:val="1177"/>
          </w:rPr>
          <w:t xml:space="preserve">https://rosseti.digital/purchases/27/</w:t>
        </w:r>
      </w:hyperlink>
      <w:r>
        <w:t xml:space="preserve">.</w:t>
      </w:r>
      <w:r/>
    </w:p>
    <w:p>
      <w:pPr>
        <w:pStyle w:val="1352"/>
        <w:numPr>
          <w:ilvl w:val="2"/>
          <w:numId w:val="1"/>
        </w:numPr>
        <w:ind w:left="142" w:firstLine="567"/>
        <w:jc w:val="both"/>
        <w:spacing w:after="120"/>
      </w:pPr>
      <w:r>
        <w:t xml:space="preserve">Если в отношении сторон договора, заключаем</w:t>
      </w:r>
      <w:r>
        <w:t xml:space="preserve">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 будут считаться приоритетными по отношению к диспозитивным нормам указанных актов.</w:t>
      </w:r>
      <w:bookmarkStart w:id="19" w:name="_Hlk228890085"/>
      <w:r/>
      <w:r/>
    </w:p>
    <w:p>
      <w:pPr>
        <w:pStyle w:val="1352"/>
        <w:numPr>
          <w:ilvl w:val="2"/>
          <w:numId w:val="1"/>
        </w:numPr>
        <w:ind w:left="142" w:firstLine="567"/>
        <w:jc w:val="both"/>
        <w:spacing w:after="120"/>
      </w:pPr>
      <w:r>
        <w:t xml:space="preserve">Подавая заявку, Участник закупки соглашается и принимает условия Проекта договора, являющегося неотъемлемой частью документации о закупке, </w:t>
      </w:r>
      <w:r>
        <w:t xml:space="preserve">общем сроке оказания услуг, указанном в п. 1.4 Проекта договора,</w:t>
      </w:r>
      <w:r>
        <w:t xml:space="preserve"> условия о порядке и сроках оплаты.</w:t>
      </w:r>
      <w:bookmarkEnd w:id="19"/>
      <w:r/>
      <w:r/>
    </w:p>
    <w:p>
      <w:pPr>
        <w:pStyle w:val="1117"/>
        <w:numPr>
          <w:ilvl w:val="1"/>
          <w:numId w:val="1"/>
        </w:numPr>
        <w:ind w:left="0" w:firstLine="709"/>
        <w:jc w:val="both"/>
        <w:keepNext w:val="0"/>
        <w:spacing w:after="120"/>
        <w:rPr>
          <w:sz w:val="24"/>
          <w:szCs w:val="24"/>
        </w:rPr>
      </w:pPr>
      <w:r/>
      <w:bookmarkStart w:id="20" w:name="_Toc123405453"/>
      <w:r/>
      <w:bookmarkStart w:id="21" w:name="_Toc126935820"/>
      <w:r/>
      <w:bookmarkStart w:id="22" w:name="_Toc132974735"/>
      <w:r/>
      <w:bookmarkStart w:id="23" w:name="_Toc224649955"/>
      <w:r/>
      <w:bookmarkStart w:id="24" w:name="_Toc236307186"/>
      <w:r>
        <w:rPr>
          <w:sz w:val="24"/>
          <w:szCs w:val="24"/>
        </w:rPr>
        <w:t xml:space="preserve">Заказчик, предмет и условия проведения закупки</w:t>
      </w:r>
      <w:bookmarkEnd w:id="20"/>
      <w:r>
        <w:rPr>
          <w:sz w:val="24"/>
          <w:szCs w:val="24"/>
        </w:rPr>
        <w:t xml:space="preserve">.</w:t>
      </w:r>
      <w:bookmarkEnd w:id="21"/>
      <w:r/>
      <w:bookmarkEnd w:id="22"/>
      <w:r/>
      <w:bookmarkEnd w:id="23"/>
      <w:r/>
      <w:bookmarkEnd w:id="24"/>
      <w:r/>
      <w:r>
        <w:rPr>
          <w:sz w:val="24"/>
          <w:szCs w:val="24"/>
        </w:rPr>
      </w:r>
    </w:p>
    <w:p>
      <w:pPr>
        <w:pStyle w:val="1118"/>
        <w:numPr>
          <w:ilvl w:val="2"/>
          <w:numId w:val="1"/>
        </w:numPr>
        <w:ind w:left="142" w:firstLine="567"/>
        <w:keepNext w:val="0"/>
        <w:spacing w:before="0" w:after="120"/>
        <w:rPr>
          <w:rFonts w:ascii="Times New Roman" w:hAnsi="Times New Roman" w:cs="Times New Roman"/>
          <w:b w:val="0"/>
          <w:bCs w:val="0"/>
        </w:rPr>
      </w:pPr>
      <w:r/>
      <w:bookmarkStart w:id="25" w:name="_Ref166267341"/>
      <w:r>
        <w:rPr>
          <w:rFonts w:ascii="Times New Roman" w:hAnsi="Times New Roman" w:cs="Times New Roman"/>
          <w:b w:val="0"/>
          <w:bCs w:val="0"/>
        </w:rPr>
        <w:t xml:space="preserve">Заказчик, указанный в пункте 1 части II «ИНФОРМАЦИОННАЯ КАРТА ЗАКУПКИ» настоящей документации о закупке соответственно (далее по тексту ссылки на разделы, подразделы, пункты и подпункт</w:t>
      </w:r>
      <w:r>
        <w:rPr>
          <w:rFonts w:ascii="Times New Roman" w:hAnsi="Times New Roman" w:cs="Times New Roman"/>
          <w:b w:val="0"/>
          <w:bCs w:val="0"/>
        </w:rPr>
        <w:t xml:space="preserve">ы относятся исключительно к настоящей документации о закупке, если рядом с такой ссылкой не указано иного), проводит закупку, предмет и условия которой указаны в части II «ИНФОРМАЦИОННАЯ КАРТА ЗАКУПКИ», в соответствии с процедурами, условиями и положениями</w:t>
      </w:r>
      <w:r>
        <w:rPr>
          <w:rFonts w:ascii="Times New Roman" w:hAnsi="Times New Roman" w:cs="Times New Roman"/>
          <w:b w:val="0"/>
          <w:bCs w:val="0"/>
        </w:rPr>
        <w:t xml:space="preserve"> настоящей документации о закупке.</w:t>
      </w:r>
      <w:bookmarkEnd w:id="25"/>
      <w:r/>
      <w:r>
        <w:rPr>
          <w:rFonts w:ascii="Times New Roman" w:hAnsi="Times New Roman" w:cs="Times New Roman"/>
          <w:b w:val="0"/>
          <w:bCs w:val="0"/>
        </w:rPr>
      </w:r>
    </w:p>
    <w:p>
      <w:pPr>
        <w:pStyle w:val="1118"/>
        <w:numPr>
          <w:ilvl w:val="2"/>
          <w:numId w:val="1"/>
        </w:numPr>
        <w:ind w:left="142" w:firstLine="567"/>
        <w:keepNext w:val="0"/>
        <w:spacing w:before="0" w:after="120"/>
        <w:rPr>
          <w:rFonts w:ascii="Times New Roman" w:hAnsi="Times New Roman" w:cs="Times New Roman"/>
          <w:b w:val="0"/>
          <w:bCs w:val="0"/>
        </w:rPr>
      </w:pPr>
      <w:r>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r>
        <w:rPr>
          <w:rFonts w:ascii="Times New Roman" w:hAnsi="Times New Roman" w:cs="Times New Roman"/>
          <w:b w:val="0"/>
          <w:bCs w:val="0"/>
        </w:rPr>
      </w:r>
    </w:p>
    <w:p>
      <w:pPr>
        <w:pStyle w:val="1118"/>
        <w:numPr>
          <w:ilvl w:val="2"/>
          <w:numId w:val="1"/>
        </w:numPr>
        <w:ind w:left="142" w:firstLine="567"/>
        <w:keepNext w:val="0"/>
        <w:spacing w:before="0" w:after="120"/>
        <w:rPr>
          <w:rFonts w:ascii="Times New Roman" w:hAnsi="Times New Roman" w:cs="Times New Roman"/>
          <w:b w:val="0"/>
          <w:bCs w:val="0"/>
        </w:rPr>
      </w:pPr>
      <w:r>
        <w:rPr>
          <w:rFonts w:ascii="Times New Roman" w:hAnsi="Times New Roman" w:cs="Times New Roman"/>
          <w:b w:val="0"/>
          <w:bCs w:val="0"/>
        </w:rPr>
        <w:t xml:space="preserve">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пункте 2 части II «ИНФОРМАЦИОННАЯ КАРТА ЗАКУПКИ».</w:t>
      </w:r>
      <w:r>
        <w:t xml:space="preserve"> </w:t>
      </w:r>
      <w:r>
        <w:rPr>
          <w:rFonts w:ascii="Times New Roman" w:hAnsi="Times New Roman" w:cs="Times New Roman"/>
          <w:b w:val="0"/>
          <w:bCs w:val="0"/>
        </w:rPr>
        <w:t xml:space="preserve">Распределение функций между Заказчиком и таким Организатором закупки определяется договором, подписанным между ними с учетом требований Стандарта.</w:t>
      </w:r>
      <w:r>
        <w:rPr>
          <w:rFonts w:ascii="Times New Roman" w:hAnsi="Times New Roman" w:cs="Times New Roman"/>
          <w:b w:val="0"/>
          <w:bCs w:val="0"/>
        </w:rPr>
      </w:r>
    </w:p>
    <w:p>
      <w:pPr>
        <w:pStyle w:val="1117"/>
        <w:numPr>
          <w:ilvl w:val="1"/>
          <w:numId w:val="1"/>
        </w:numPr>
        <w:ind w:left="0" w:firstLine="709"/>
        <w:jc w:val="left"/>
        <w:keepNext w:val="0"/>
        <w:spacing w:after="120"/>
        <w:rPr>
          <w:sz w:val="24"/>
          <w:szCs w:val="24"/>
        </w:rPr>
      </w:pPr>
      <w:r/>
      <w:bookmarkStart w:id="26" w:name="_Toc123405455"/>
      <w:r/>
      <w:bookmarkStart w:id="27" w:name="_Toc76740426"/>
      <w:r/>
      <w:bookmarkStart w:id="28" w:name="_Toc126935821"/>
      <w:r/>
      <w:bookmarkStart w:id="29" w:name="_Toc132974736"/>
      <w:r/>
      <w:bookmarkStart w:id="30" w:name="_Toc76037638"/>
      <w:r/>
      <w:bookmarkStart w:id="31" w:name="_Toc77067195"/>
      <w:r/>
      <w:bookmarkStart w:id="32" w:name="_Toc224649956"/>
      <w:r/>
      <w:bookmarkStart w:id="33" w:name="_Toc236307187"/>
      <w:r>
        <w:rPr>
          <w:sz w:val="24"/>
          <w:szCs w:val="24"/>
        </w:rPr>
        <w:t xml:space="preserve">Начальная (максимальная) цена </w:t>
      </w:r>
      <w:bookmarkEnd w:id="26"/>
      <w:r>
        <w:rPr>
          <w:sz w:val="24"/>
          <w:szCs w:val="24"/>
        </w:rPr>
        <w:t xml:space="preserve">договора</w:t>
      </w:r>
      <w:bookmarkEnd w:id="27"/>
      <w:r/>
      <w:bookmarkEnd w:id="28"/>
      <w:r/>
      <w:bookmarkEnd w:id="29"/>
      <w:r/>
      <w:bookmarkEnd w:id="30"/>
      <w:r/>
      <w:bookmarkEnd w:id="31"/>
      <w:r/>
      <w:bookmarkEnd w:id="32"/>
      <w:r/>
      <w:bookmarkEnd w:id="33"/>
      <w:r>
        <w:rPr>
          <w:sz w:val="24"/>
          <w:szCs w:val="24"/>
        </w:rPr>
        <w:t xml:space="preserve"> </w:t>
      </w:r>
      <w:r>
        <w:rPr>
          <w:sz w:val="24"/>
          <w:szCs w:val="24"/>
        </w:rPr>
      </w:r>
    </w:p>
    <w:p>
      <w:pPr>
        <w:pStyle w:val="1118"/>
        <w:numPr>
          <w:ilvl w:val="2"/>
          <w:numId w:val="1"/>
        </w:numPr>
        <w:ind w:left="142" w:firstLine="567"/>
        <w:spacing w:before="0" w:after="120"/>
        <w:rPr>
          <w:rFonts w:ascii="Times New Roman" w:hAnsi="Times New Roman" w:cs="Times New Roman"/>
          <w:b w:val="0"/>
        </w:rPr>
      </w:pPr>
      <w:r/>
      <w:bookmarkStart w:id="34" w:name="_Ref166311292"/>
      <w:r>
        <w:rPr>
          <w:rFonts w:ascii="Times New Roman" w:hAnsi="Times New Roman" w:cs="Times New Roman"/>
          <w:b w:val="0"/>
          <w:bCs w:val="0"/>
        </w:rPr>
        <w:t xml:space="preserve">Начальная (максимальная) цена договора указана в извещении о закупке и пункте 5 части II «ИНФОРМАЦИОННАЯ КАРТА ЗАКУПКИ». </w:t>
      </w:r>
      <w:bookmarkEnd w:id="34"/>
      <w:r>
        <w:rPr>
          <w:rFonts w:ascii="Times New Roman" w:hAnsi="Times New Roman" w:cs="Times New Roman"/>
          <w:b w:val="0"/>
          <w:bCs w:val="0"/>
        </w:rPr>
        <w:t xml:space="preserve">Начальная (максимальная) цена договора может быть указана Заказчиком в виде </w:t>
      </w:r>
      <w:r>
        <w:rPr>
          <w:rFonts w:ascii="Times New Roman" w:hAnsi="Times New Roman" w:cs="Times New Roman"/>
          <w:b w:val="0"/>
        </w:rPr>
        <w:t xml:space="preserve">сведений о начальной (максимальной) цене договора, либо формулы цены, и максимального значения цены договора либо цены единицы товара, работы, услуги и максимального значения цены договора. В случае если по результата</w:t>
      </w:r>
      <w:r>
        <w:rPr>
          <w:rFonts w:ascii="Times New Roman" w:hAnsi="Times New Roman" w:cs="Times New Roman"/>
          <w:b w:val="0"/>
        </w:rPr>
        <w:t xml:space="preserve">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r>
        <w:rPr>
          <w:rFonts w:ascii="Times New Roman" w:hAnsi="Times New Roman" w:cs="Times New Roman"/>
          <w:b w:val="0"/>
        </w:rPr>
      </w:r>
    </w:p>
    <w:p>
      <w:pPr>
        <w:pStyle w:val="1118"/>
        <w:numPr>
          <w:ilvl w:val="2"/>
          <w:numId w:val="1"/>
        </w:numPr>
        <w:ind w:left="142" w:firstLine="567"/>
        <w:spacing w:before="0" w:after="120"/>
        <w:rPr>
          <w:rFonts w:ascii="Times New Roman" w:hAnsi="Times New Roman" w:cs="Times New Roman"/>
          <w:b w:val="0"/>
        </w:rPr>
      </w:pPr>
      <w:r>
        <w:rPr>
          <w:rFonts w:ascii="Times New Roman" w:hAnsi="Times New Roman" w:cs="Times New Roman"/>
          <w:b w:val="0"/>
          <w:bCs w:val="0"/>
        </w:rPr>
        <w:t xml:space="preserve">Обоснование начально</w:t>
      </w:r>
      <w:r>
        <w:rPr>
          <w:rFonts w:ascii="Times New Roman" w:hAnsi="Times New Roman" w:cs="Times New Roman"/>
          <w:b w:val="0"/>
          <w:bCs w:val="0"/>
        </w:rPr>
        <w:t xml:space="preserve">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указано в пункте 5.1. части II «ИНФОРМАЦИОННАЯ КАРТА ЗАКУПКИ»</w:t>
      </w:r>
      <w:r>
        <w:rPr>
          <w:rFonts w:ascii="Times New Roman" w:hAnsi="Times New Roman" w:cs="Times New Roman"/>
          <w:b w:val="0"/>
        </w:rPr>
        <w:t xml:space="preserve">.</w:t>
      </w:r>
      <w:r>
        <w:rPr>
          <w:rFonts w:ascii="Times New Roman" w:hAnsi="Times New Roman" w:cs="Times New Roman"/>
          <w:b w:val="0"/>
        </w:rPr>
      </w:r>
    </w:p>
    <w:p>
      <w:pPr>
        <w:pStyle w:val="1117"/>
        <w:numPr>
          <w:ilvl w:val="1"/>
          <w:numId w:val="1"/>
        </w:numPr>
        <w:ind w:left="0" w:firstLine="567"/>
        <w:jc w:val="left"/>
        <w:keepNext w:val="0"/>
        <w:spacing w:after="120"/>
        <w:rPr>
          <w:sz w:val="24"/>
          <w:szCs w:val="24"/>
        </w:rPr>
      </w:pPr>
      <w:r/>
      <w:bookmarkStart w:id="35" w:name="_Toc123405457"/>
      <w:r/>
      <w:bookmarkStart w:id="36" w:name="_Toc126935822"/>
      <w:r/>
      <w:bookmarkStart w:id="37" w:name="_Toc132974737"/>
      <w:r/>
      <w:bookmarkStart w:id="38" w:name="_Toc224649957"/>
      <w:r/>
      <w:bookmarkStart w:id="39" w:name="_Toc236307188"/>
      <w:r>
        <w:rPr>
          <w:sz w:val="24"/>
          <w:szCs w:val="24"/>
        </w:rPr>
        <w:t xml:space="preserve">Требования к </w:t>
      </w:r>
      <w:bookmarkEnd w:id="35"/>
      <w:r>
        <w:rPr>
          <w:sz w:val="24"/>
          <w:szCs w:val="24"/>
        </w:rPr>
        <w:t xml:space="preserve">участникам закупки</w:t>
      </w:r>
      <w:bookmarkEnd w:id="36"/>
      <w:r/>
      <w:bookmarkEnd w:id="37"/>
      <w:r/>
      <w:bookmarkEnd w:id="38"/>
      <w:r/>
      <w:bookmarkEnd w:id="39"/>
      <w:r/>
      <w:r>
        <w:rPr>
          <w:sz w:val="24"/>
          <w:szCs w:val="24"/>
        </w:rPr>
      </w:r>
    </w:p>
    <w:p>
      <w:pPr>
        <w:pStyle w:val="1118"/>
        <w:numPr>
          <w:ilvl w:val="2"/>
          <w:numId w:val="1"/>
        </w:numPr>
        <w:ind w:left="142" w:firstLine="567"/>
        <w:keepNext w:val="0"/>
        <w:spacing w:before="0" w:after="120"/>
        <w:tabs>
          <w:tab w:val="left" w:pos="1418" w:leader="none"/>
        </w:tabs>
        <w:rPr>
          <w:rFonts w:ascii="Times New Roman" w:hAnsi="Times New Roman" w:cs="Times New Roman"/>
          <w:b w:val="0"/>
          <w:bCs w:val="0"/>
        </w:rPr>
      </w:pPr>
      <w:r>
        <w:rPr>
          <w:rFonts w:ascii="Times New Roman" w:hAnsi="Times New Roman" w:cs="Times New Roman"/>
          <w:b w:val="0"/>
          <w:bCs w:val="0"/>
        </w:rPr>
        <w:t xml:space="preserve">Участником закупки может </w:t>
      </w:r>
      <w:r>
        <w:rPr>
          <w:rFonts w:ascii="Times New Roman" w:hAnsi="Times New Roman" w:cs="Times New Roman"/>
          <w:b w:val="0"/>
          <w:bCs w:val="0"/>
        </w:rPr>
        <w:t xml:space="preserve">быть любое юридическое лицо, а также индивидуальный предприниматель являющиеся субъектами малого или среднего предпринимательства (далее – субъекты МСП), за исключением юридического лица (физического лица), являющегося иностранным агентом в соответствии с </w:t>
      </w:r>
      <w:hyperlink r:id="rId37" w:tooltip="https://internet.garant.ru/#/document/404991865/entry/1&quot; l &quot;/document/404991865/entry/1" w:history="1">
        <w:r>
          <w:rPr>
            <w:rStyle w:val="1177"/>
            <w:rFonts w:ascii="Times New Roman" w:hAnsi="Times New Roman" w:cs="Times New Roman"/>
            <w:b w:val="0"/>
            <w:bCs w:val="0"/>
          </w:rPr>
          <w:t xml:space="preserve">Федеральным законом</w:t>
        </w:r>
      </w:hyperlink>
      <w:r>
        <w:rPr>
          <w:rFonts w:ascii="Times New Roman" w:hAnsi="Times New Roman" w:cs="Times New Roman"/>
          <w:b w:val="0"/>
          <w:bCs w:val="0"/>
        </w:rPr>
        <w:t xml:space="preserve"> от 14 июля 2022 года N 255-ФЗ "О </w:t>
      </w:r>
      <w:r>
        <w:rPr>
          <w:rFonts w:ascii="Times New Roman" w:hAnsi="Times New Roman" w:cs="Times New Roman"/>
          <w:b w:val="0"/>
          <w:bCs w:val="0"/>
        </w:rPr>
        <w:t xml:space="preserve">контроле за</w:t>
      </w:r>
      <w:r>
        <w:rPr>
          <w:rFonts w:ascii="Times New Roman" w:hAnsi="Times New Roman" w:cs="Times New Roman"/>
          <w:b w:val="0"/>
          <w:bCs w:val="0"/>
        </w:rPr>
        <w:t xml:space="preserve"> деятельностью лиц, находящихся под иностранным влиянием". В течение срока проведения эксперимента, установленного Федеральным законом от 27 ноября 2018 года № 422-ФЗ «О проведении эксперимента </w:t>
      </w:r>
      <w:r>
        <w:rPr>
          <w:rFonts w:ascii="Times New Roman" w:hAnsi="Times New Roman" w:cs="Times New Roman"/>
          <w:b w:val="0"/>
          <w:bCs w:val="0"/>
        </w:rPr>
        <w:t xml:space="preserve">по установлению специального налогового режима «Налог на профессиональный доход» участником закупки может быть также физическое лицо, не являющееся индивидуальными предпринимателем и применяющее специальный налоговый режим «Налог на профессиональный доход»</w:t>
      </w:r>
      <w:r>
        <w:rPr>
          <w:rFonts w:ascii="Times New Roman" w:hAnsi="Times New Roman" w:cs="Times New Roman"/>
          <w:b w:val="0"/>
        </w:rPr>
        <w:t xml:space="preserve">.</w:t>
      </w:r>
      <w:r>
        <w:rPr>
          <w:rFonts w:ascii="Times New Roman" w:hAnsi="Times New Roman" w:cs="Times New Roman"/>
          <w:b w:val="0"/>
          <w:bCs w:val="0"/>
        </w:rPr>
        <w:t xml:space="preserve"> </w:t>
      </w:r>
      <w:r>
        <w:rPr>
          <w:rFonts w:ascii="Times New Roman" w:hAnsi="Times New Roman" w:cs="Times New Roman"/>
          <w:b w:val="0"/>
          <w:bCs w:val="0"/>
        </w:rPr>
      </w:r>
    </w:p>
    <w:p>
      <w:pPr>
        <w:pStyle w:val="1118"/>
        <w:numPr>
          <w:ilvl w:val="2"/>
          <w:numId w:val="1"/>
        </w:numPr>
        <w:ind w:left="142" w:firstLine="567"/>
        <w:keepNext w:val="0"/>
        <w:spacing w:before="0" w:after="120"/>
        <w:rPr>
          <w:rFonts w:ascii="Times New Roman" w:hAnsi="Times New Roman" w:cs="Times New Roman"/>
          <w:b w:val="0"/>
          <w:bCs w:val="0"/>
        </w:rPr>
      </w:pPr>
      <w:r>
        <w:rPr>
          <w:rFonts w:ascii="Times New Roman" w:hAnsi="Times New Roman" w:cs="Times New Roman"/>
          <w:b w:val="0"/>
          <w:bCs w:val="0"/>
        </w:rPr>
        <w:t xml:space="preserve">Участники закупки имеют право выступать в отнош</w:t>
      </w:r>
      <w:r>
        <w:rPr>
          <w:rFonts w:ascii="Times New Roman" w:hAnsi="Times New Roman" w:cs="Times New Roman"/>
          <w:b w:val="0"/>
          <w:bCs w:val="0"/>
        </w:rPr>
        <w:t xml:space="preserve">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требованиями действующего законодательства.</w:t>
      </w:r>
      <w:r>
        <w:rPr>
          <w:rFonts w:ascii="Times New Roman" w:hAnsi="Times New Roman" w:cs="Times New Roman"/>
          <w:b w:val="0"/>
          <w:bCs w:val="0"/>
        </w:rPr>
      </w:r>
    </w:p>
    <w:p>
      <w:pPr>
        <w:pStyle w:val="1118"/>
        <w:numPr>
          <w:ilvl w:val="2"/>
          <w:numId w:val="1"/>
        </w:numPr>
        <w:ind w:left="142" w:firstLine="567"/>
        <w:keepNext w:val="0"/>
        <w:spacing w:before="0" w:after="120"/>
        <w:rPr>
          <w:rFonts w:ascii="Times New Roman" w:hAnsi="Times New Roman" w:cs="Times New Roman"/>
          <w:b w:val="0"/>
          <w:bCs w:val="0"/>
        </w:rPr>
      </w:pPr>
      <w:r/>
      <w:bookmarkStart w:id="40" w:name="_Ref166312025"/>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для того, чтобы принять участие в закупке, должен удовлетворять требованиям, установленным в пункте 9 части II «ИНФОРМАЦИОННАЯ КАРТА ЗАКУПКИ».</w:t>
      </w:r>
      <w:bookmarkEnd w:id="40"/>
      <w:r/>
      <w:r>
        <w:rPr>
          <w:rFonts w:ascii="Times New Roman" w:hAnsi="Times New Roman" w:cs="Times New Roman"/>
          <w:b w:val="0"/>
          <w:bCs w:val="0"/>
        </w:rPr>
      </w:r>
    </w:p>
    <w:p>
      <w:pPr>
        <w:pStyle w:val="1118"/>
        <w:numPr>
          <w:ilvl w:val="2"/>
          <w:numId w:val="1"/>
        </w:numPr>
        <w:ind w:left="142" w:firstLine="567"/>
        <w:keepNext w:val="0"/>
        <w:spacing w:before="0" w:after="120"/>
        <w:rPr>
          <w:rFonts w:ascii="Times New Roman" w:hAnsi="Times New Roman" w:cs="Times New Roman"/>
          <w:b w:val="0"/>
        </w:rPr>
      </w:pPr>
      <w:r>
        <w:rPr>
          <w:rFonts w:ascii="Times New Roman" w:hAnsi="Times New Roman" w:cs="Times New Roman"/>
          <w:b w:val="0"/>
        </w:rPr>
        <w:t xml:space="preserve">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w:t>
      </w:r>
      <w:r>
        <w:rPr>
          <w:rFonts w:ascii="Times New Roman" w:hAnsi="Times New Roman" w:cs="Times New Roman"/>
          <w:b w:val="0"/>
        </w:rPr>
        <w:t xml:space="preserve">ным законом от 5 апреля 2013 года № 44-ФЗ «О контрактной системе в сфере закупок товаров, работ, услуг для обеспечения государственных и муниципальных нужд», если такое требование установлено Заказчиком, в пункте 11 части II «ИНФОРМАЦИОННАЯ КАРТА ЗАКУПКИ».</w:t>
      </w:r>
      <w:r>
        <w:rPr>
          <w:rFonts w:ascii="Times New Roman" w:hAnsi="Times New Roman" w:cs="Times New Roman"/>
          <w:b w:val="0"/>
        </w:rPr>
      </w:r>
    </w:p>
    <w:p>
      <w:pPr>
        <w:pStyle w:val="1117"/>
        <w:numPr>
          <w:ilvl w:val="1"/>
          <w:numId w:val="1"/>
        </w:numPr>
        <w:ind w:left="0" w:firstLine="709"/>
        <w:jc w:val="both"/>
        <w:keepNext w:val="0"/>
        <w:spacing w:after="120"/>
        <w:tabs>
          <w:tab w:val="left" w:pos="576" w:leader="none"/>
          <w:tab w:val="left" w:pos="1276" w:leader="none"/>
        </w:tabs>
        <w:rPr>
          <w:sz w:val="24"/>
          <w:szCs w:val="24"/>
        </w:rPr>
      </w:pPr>
      <w:r/>
      <w:bookmarkStart w:id="41" w:name="_Toc132974738"/>
      <w:r/>
      <w:bookmarkStart w:id="42" w:name="_Toc126935823"/>
      <w:r/>
      <w:bookmarkStart w:id="43" w:name="_Toc123405458"/>
      <w:r/>
      <w:bookmarkStart w:id="44" w:name="_Toc224649958"/>
      <w:r/>
      <w:bookmarkStart w:id="45" w:name="_Toc236307189"/>
      <w:r>
        <w:rPr>
          <w:sz w:val="24"/>
          <w:szCs w:val="24"/>
        </w:rPr>
        <w:t xml:space="preserve">Привлечение соисполнителей (субподрядчиков) к исполнению договора</w:t>
      </w:r>
      <w:bookmarkEnd w:id="41"/>
      <w:r/>
      <w:bookmarkEnd w:id="42"/>
      <w:r/>
      <w:bookmarkEnd w:id="43"/>
      <w:r/>
      <w:bookmarkEnd w:id="44"/>
      <w:r/>
      <w:bookmarkEnd w:id="45"/>
      <w:r/>
      <w:r>
        <w:rPr>
          <w:sz w:val="24"/>
          <w:szCs w:val="24"/>
        </w:rPr>
      </w:r>
    </w:p>
    <w:p>
      <w:pPr>
        <w:pStyle w:val="1118"/>
        <w:numPr>
          <w:ilvl w:val="2"/>
          <w:numId w:val="1"/>
        </w:numPr>
        <w:ind w:left="142" w:firstLine="567"/>
        <w:keepNext w:val="0"/>
        <w:spacing w:before="0" w:after="120"/>
        <w:rPr>
          <w:rFonts w:ascii="Times New Roman" w:hAnsi="Times New Roman" w:cs="Times New Roman"/>
          <w:b w:val="0"/>
          <w:bCs w:val="0"/>
        </w:rPr>
      </w:pPr>
      <w:r>
        <w:rPr>
          <w:rFonts w:ascii="Times New Roman" w:hAnsi="Times New Roman" w:cs="Times New Roman"/>
          <w:b w:val="0"/>
          <w:bCs w:val="0"/>
        </w:rPr>
        <w:t xml:space="preserve">Участник закупки вправе привлечь к исполнению договора соисполнителей (субподрядчиков) в случае, если это допускается положениями Гражданского кодекса Российской Федерации для соответствующего предмету договора виду гражданско-правового договора</w:t>
      </w:r>
      <w:bookmarkStart w:id="46" w:name="_Ref354131841"/>
      <w:r/>
      <w:bookmarkStart w:id="47" w:name="_Ref11495519"/>
      <w:r>
        <w:rPr>
          <w:rFonts w:ascii="Times New Roman" w:hAnsi="Times New Roman" w:cs="Times New Roman"/>
          <w:b w:val="0"/>
          <w:bCs w:val="0"/>
        </w:rPr>
        <w:t xml:space="preserve">. </w:t>
      </w:r>
      <w:bookmarkStart w:id="48" w:name="_Ref354131847"/>
      <w:r/>
      <w:bookmarkEnd w:id="46"/>
      <w:r/>
      <w:r>
        <w:rPr>
          <w:rFonts w:ascii="Times New Roman" w:hAnsi="Times New Roman" w:cs="Times New Roman"/>
          <w:b w:val="0"/>
          <w:bCs w:val="0"/>
        </w:rPr>
      </w:r>
    </w:p>
    <w:p>
      <w:pPr>
        <w:pStyle w:val="1117"/>
        <w:numPr>
          <w:ilvl w:val="1"/>
          <w:numId w:val="1"/>
        </w:numPr>
        <w:ind w:left="0" w:firstLine="709"/>
        <w:jc w:val="both"/>
        <w:keepNext w:val="0"/>
        <w:spacing w:after="120"/>
        <w:rPr>
          <w:sz w:val="24"/>
          <w:szCs w:val="24"/>
        </w:rPr>
      </w:pPr>
      <w:r/>
      <w:bookmarkStart w:id="49" w:name="_Toc123405459"/>
      <w:r/>
      <w:bookmarkStart w:id="50" w:name="_Toc126935824"/>
      <w:r/>
      <w:bookmarkStart w:id="51" w:name="_Toc132974739"/>
      <w:r/>
      <w:bookmarkStart w:id="52" w:name="_Toc224649959"/>
      <w:r/>
      <w:bookmarkStart w:id="53" w:name="_Toc236307190"/>
      <w:r/>
      <w:bookmarkEnd w:id="48"/>
      <w:r>
        <w:rPr>
          <w:sz w:val="24"/>
          <w:szCs w:val="24"/>
        </w:rPr>
        <w:t xml:space="preserve">Расходы на участие в </w:t>
      </w:r>
      <w:bookmarkEnd w:id="49"/>
      <w:r>
        <w:rPr>
          <w:sz w:val="24"/>
          <w:szCs w:val="24"/>
        </w:rPr>
        <w:t xml:space="preserve">закупке и при заключении договора</w:t>
      </w:r>
      <w:bookmarkEnd w:id="50"/>
      <w:r/>
      <w:bookmarkEnd w:id="51"/>
      <w:r/>
      <w:bookmarkEnd w:id="52"/>
      <w:r/>
      <w:bookmarkEnd w:id="53"/>
      <w:r/>
      <w:r>
        <w:rPr>
          <w:sz w:val="24"/>
          <w:szCs w:val="24"/>
        </w:rPr>
      </w:r>
    </w:p>
    <w:p>
      <w:pPr>
        <w:pStyle w:val="1118"/>
        <w:numPr>
          <w:ilvl w:val="2"/>
          <w:numId w:val="1"/>
        </w:numPr>
        <w:ind w:left="142" w:firstLine="567"/>
        <w:spacing w:before="0" w:after="120"/>
        <w:rPr>
          <w:rFonts w:ascii="Times New Roman" w:hAnsi="Times New Roman" w:cs="Times New Roman"/>
          <w:b w:val="0"/>
          <w:bCs w:val="0"/>
        </w:rPr>
      </w:pPr>
      <w:r>
        <w:rPr>
          <w:rFonts w:ascii="Times New Roman" w:hAnsi="Times New Roman" w:cs="Times New Roman"/>
          <w:b w:val="0"/>
          <w:bCs w:val="0"/>
        </w:rPr>
        <w:t xml:space="preserve">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несет все расходы, связанные с подготовкой и подачей заявки на участие в закупке, участием в закупке и заключением </w:t>
      </w:r>
      <w:bookmarkEnd w:id="47"/>
      <w:r>
        <w:rPr>
          <w:rFonts w:ascii="Times New Roman" w:hAnsi="Times New Roman" w:cs="Times New Roman"/>
          <w:b w:val="0"/>
          <w:bCs w:val="0"/>
        </w:rPr>
        <w:t xml:space="preserve">договора, а Заказчик не имеет обязатель</w:t>
      </w:r>
      <w:r>
        <w:rPr>
          <w:rFonts w:ascii="Times New Roman" w:hAnsi="Times New Roman" w:cs="Times New Roman"/>
          <w:b w:val="0"/>
          <w:bCs w:val="0"/>
        </w:rPr>
        <w:t xml:space="preserve">ств в св</w:t>
      </w:r>
      <w:r>
        <w:rPr>
          <w:rFonts w:ascii="Times New Roman" w:hAnsi="Times New Roman" w:cs="Times New Roman"/>
          <w:b w:val="0"/>
          <w:bCs w:val="0"/>
        </w:rPr>
        <w:t xml:space="preserve">язи с такими расходами, за исключением случаев, прямо предусмотренных законодательством Российской Федерации.</w:t>
      </w:r>
      <w:bookmarkStart w:id="54" w:name="_Toc123405460"/>
      <w:r/>
      <w:r>
        <w:rPr>
          <w:rFonts w:ascii="Times New Roman" w:hAnsi="Times New Roman" w:cs="Times New Roman"/>
          <w:b w:val="0"/>
          <w:bCs w:val="0"/>
        </w:rPr>
      </w:r>
    </w:p>
    <w:p>
      <w:pPr>
        <w:pStyle w:val="1117"/>
        <w:numPr>
          <w:ilvl w:val="1"/>
          <w:numId w:val="1"/>
        </w:numPr>
        <w:ind w:left="0" w:firstLine="709"/>
        <w:jc w:val="both"/>
        <w:keepNext w:val="0"/>
        <w:spacing w:after="120"/>
        <w:widowControl w:val="off"/>
        <w:rPr>
          <w:sz w:val="24"/>
          <w:szCs w:val="24"/>
        </w:rPr>
      </w:pPr>
      <w:r/>
      <w:bookmarkStart w:id="55" w:name="_Toc187412768"/>
      <w:r/>
      <w:bookmarkStart w:id="56" w:name="_Toc126935825"/>
      <w:r/>
      <w:bookmarkStart w:id="57" w:name="_Toc132974740"/>
      <w:r/>
      <w:bookmarkStart w:id="58" w:name="_Toc224649960"/>
      <w:r/>
      <w:bookmarkStart w:id="59" w:name="_Toc236307191"/>
      <w:r/>
      <w:bookmarkEnd w:id="54"/>
      <w:r>
        <w:rPr>
          <w:sz w:val="24"/>
          <w:szCs w:val="24"/>
        </w:rPr>
        <w:t xml:space="preserve">Условия предоставления национального режи</w:t>
      </w:r>
      <w:r>
        <w:rPr>
          <w:sz w:val="24"/>
          <w:szCs w:val="24"/>
        </w:rPr>
        <w:t xml:space="preserve">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bookmarkEnd w:id="55"/>
      <w:r>
        <w:rPr>
          <w:sz w:val="24"/>
          <w:szCs w:val="24"/>
        </w:rPr>
        <w:t xml:space="preserve">.</w:t>
      </w:r>
      <w:bookmarkEnd w:id="56"/>
      <w:r/>
      <w:bookmarkEnd w:id="57"/>
      <w:r/>
      <w:bookmarkEnd w:id="58"/>
      <w:r/>
      <w:bookmarkEnd w:id="59"/>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Порядок предоставления национального режима закупок товаров российского происхождения, работ, услуг, выполняемых, оказываемых ро</w:t>
      </w:r>
      <w:r>
        <w:rPr>
          <w:rFonts w:ascii="Times New Roman" w:hAnsi="Times New Roman" w:cs="Times New Roman"/>
          <w:b w:val="0"/>
          <w:bCs w:val="0"/>
        </w:rPr>
        <w:t xml:space="preserve">ссийскими лицами, по отношению к товарам, происходящим из иностранного государства, работам, услугам, выполняемым, оказываемым иностранными лицами (далее – национальный режим) устанавливается в соответствии с законодательством Российской Федерации в сфере </w:t>
      </w:r>
      <w:r>
        <w:rPr>
          <w:rFonts w:ascii="Times New Roman" w:hAnsi="Times New Roman" w:cs="Times New Roman"/>
          <w:b w:val="0"/>
          <w:bCs w:val="0"/>
        </w:rPr>
        <w:t xml:space="preserve">закупок</w:t>
      </w:r>
      <w:r>
        <w:rPr>
          <w:rFonts w:ascii="Times New Roman" w:hAnsi="Times New Roman" w:cs="Times New Roman"/>
          <w:b w:val="0"/>
          <w:bCs w:val="0"/>
        </w:rPr>
        <w:t xml:space="preserve"> в случае если Заказчиком в пункте 21 части II «ИНФОРМАЦИОННАЯ КАРТА ЗАКУПКИ» предусмотрена такая возможность.</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w:t>
      </w:r>
      <w:r>
        <w:rPr>
          <w:rFonts w:ascii="Times New Roman" w:hAnsi="Times New Roman" w:cs="Times New Roman"/>
          <w:b w:val="0"/>
          <w:bCs w:val="0"/>
        </w:rPr>
        <w:t xml:space="preserve">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w:t>
      </w:r>
      <w:r>
        <w:rPr>
          <w:rFonts w:ascii="Times New Roman" w:hAnsi="Times New Roman" w:cs="Times New Roman"/>
          <w:b w:val="0"/>
          <w:bCs w:val="0"/>
        </w:rPr>
        <w:t xml:space="preserve">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r>
        <w:rPr>
          <w:rFonts w:ascii="Times New Roman" w:hAnsi="Times New Roman" w:cs="Times New Roman"/>
          <w:b w:val="0"/>
          <w:bCs w:val="0"/>
        </w:rPr>
        <w:t xml:space="preserve"> мер, устанавливающих: </w:t>
      </w:r>
      <w:r>
        <w:rPr>
          <w:rFonts w:ascii="Times New Roman" w:hAnsi="Times New Roman" w:cs="Times New Roman"/>
          <w:b w:val="0"/>
          <w:bCs w:val="0"/>
        </w:rPr>
      </w:r>
    </w:p>
    <w:p>
      <w:pPr>
        <w:pStyle w:val="1118"/>
        <w:numPr>
          <w:ilvl w:val="0"/>
          <w:numId w:val="29"/>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hAnsi="Times New Roman" w:cs="Times New Roman"/>
          <w:b w:val="0"/>
          <w:bCs w:val="0"/>
        </w:rPr>
      </w:r>
    </w:p>
    <w:p>
      <w:pPr>
        <w:pStyle w:val="1118"/>
        <w:numPr>
          <w:ilvl w:val="0"/>
          <w:numId w:val="29"/>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Pr>
          <w:rFonts w:ascii="Times New Roman" w:hAnsi="Times New Roman" w:cs="Times New Roman"/>
          <w:b w:val="0"/>
          <w:bCs w:val="0"/>
        </w:rPr>
        <w:t xml:space="preserve">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cs="Times New Roman"/>
          <w:b w:val="0"/>
          <w:bCs w:val="0"/>
        </w:rPr>
      </w:r>
    </w:p>
    <w:p>
      <w:pPr>
        <w:pStyle w:val="1118"/>
        <w:numPr>
          <w:ilvl w:val="0"/>
          <w:numId w:val="29"/>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Если иное не предусмотрено мерами, прин</w:t>
      </w:r>
      <w:r>
        <w:rPr>
          <w:rFonts w:ascii="Times New Roman" w:hAnsi="Times New Roman" w:cs="Times New Roman"/>
          <w:b w:val="0"/>
          <w:bCs w:val="0"/>
        </w:rPr>
        <w:t xml:space="preserve">ятыми Правительством Российской Федерации, положения п. 1.7.2 настоящей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Times New Roman" w:hAnsi="Times New Roman" w:cs="Times New Roman"/>
          <w:b w:val="0"/>
          <w:bCs w:val="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b w:val="0"/>
          <w:bCs w:val="0"/>
        </w:rPr>
      </w:r>
    </w:p>
    <w:p>
      <w:pPr>
        <w:pStyle w:val="1118"/>
        <w:numPr>
          <w:ilvl w:val="2"/>
          <w:numId w:val="45"/>
        </w:numPr>
        <w:ind w:left="142" w:firstLine="567"/>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 предусмотренный п. 1.7.2 а) настоящей документации запрет закупок товара, не допускаются:</w:t>
      </w:r>
      <w:r>
        <w:rPr>
          <w:rFonts w:ascii="Times New Roman" w:hAnsi="Times New Roman" w:cs="Times New Roman"/>
          <w:b w:val="0"/>
          <w:bCs w:val="0"/>
        </w:rPr>
      </w:r>
    </w:p>
    <w:p>
      <w:pPr>
        <w:pStyle w:val="1118"/>
        <w:numPr>
          <w:ilvl w:val="0"/>
          <w:numId w:val="30"/>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заключение договора на поставку такого товара; </w:t>
      </w:r>
      <w:r>
        <w:rPr>
          <w:rFonts w:ascii="Times New Roman" w:hAnsi="Times New Roman" w:cs="Times New Roman"/>
          <w:b w:val="0"/>
          <w:bCs w:val="0"/>
        </w:rPr>
      </w:r>
    </w:p>
    <w:p>
      <w:pPr>
        <w:pStyle w:val="1118"/>
        <w:numPr>
          <w:ilvl w:val="0"/>
          <w:numId w:val="30"/>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w:t>
      </w:r>
      <w:r>
        <w:rPr>
          <w:rFonts w:ascii="Times New Roman" w:hAnsi="Times New Roman" w:cs="Times New Roman"/>
          <w:b w:val="0"/>
          <w:bCs w:val="0"/>
        </w:rPr>
      </w:r>
    </w:p>
    <w:p>
      <w:pPr>
        <w:pStyle w:val="1118"/>
        <w:numPr>
          <w:ilvl w:val="2"/>
          <w:numId w:val="46"/>
        </w:numPr>
        <w:ind w:left="142" w:firstLine="567"/>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 1.7.2 б) настоящей документации ограничение закупок товара, не допускаются: </w:t>
      </w:r>
      <w:r>
        <w:rPr>
          <w:rFonts w:ascii="Times New Roman" w:hAnsi="Times New Roman" w:cs="Times New Roman"/>
          <w:b w:val="0"/>
          <w:bCs w:val="0"/>
        </w:rPr>
      </w:r>
    </w:p>
    <w:p>
      <w:pPr>
        <w:pStyle w:val="1118"/>
        <w:numPr>
          <w:ilvl w:val="0"/>
          <w:numId w:val="31"/>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w:t>
      </w:r>
      <w:r>
        <w:rPr>
          <w:rFonts w:ascii="Times New Roman" w:hAnsi="Times New Roman" w:cs="Times New Roman"/>
          <w:b w:val="0"/>
          <w:bCs w:val="0"/>
        </w:rPr>
        <w:t xml:space="preserve">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r>
        <w:rPr>
          <w:rFonts w:ascii="Times New Roman" w:hAnsi="Times New Roman" w:cs="Times New Roman"/>
          <w:b w:val="0"/>
          <w:bCs w:val="0"/>
        </w:rPr>
      </w:r>
    </w:p>
    <w:p>
      <w:pPr>
        <w:pStyle w:val="1118"/>
        <w:numPr>
          <w:ilvl w:val="0"/>
          <w:numId w:val="31"/>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r>
        <w:rPr>
          <w:rFonts w:ascii="Times New Roman" w:hAnsi="Times New Roman" w:cs="Times New Roman"/>
          <w:b w:val="0"/>
          <w:bCs w:val="0"/>
        </w:rPr>
      </w:r>
    </w:p>
    <w:p>
      <w:pPr>
        <w:pStyle w:val="1118"/>
        <w:numPr>
          <w:ilvl w:val="2"/>
          <w:numId w:val="47"/>
        </w:numPr>
        <w:ind w:left="142" w:firstLine="567"/>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 1.7.2 в) настоящей документации преимущество в отношении товара российского происхождения: </w:t>
      </w:r>
      <w:r>
        <w:rPr>
          <w:rFonts w:ascii="Times New Roman" w:hAnsi="Times New Roman" w:cs="Times New Roman"/>
          <w:b w:val="0"/>
          <w:bCs w:val="0"/>
        </w:rPr>
      </w:r>
    </w:p>
    <w:p>
      <w:pPr>
        <w:pStyle w:val="1118"/>
        <w:numPr>
          <w:ilvl w:val="0"/>
          <w:numId w:val="32"/>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при рассмотрении, оценке, сопоставлении заявок на участие в закупке, окончательных предложений осуществляется сниж</w:t>
      </w:r>
      <w:r>
        <w:rPr>
          <w:rFonts w:ascii="Times New Roman" w:hAnsi="Times New Roman" w:cs="Times New Roman"/>
          <w:b w:val="0"/>
          <w:bCs w:val="0"/>
        </w:rPr>
        <w:t xml:space="preserve">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w:t>
      </w:r>
      <w:r>
        <w:rPr>
          <w:rStyle w:val="1166"/>
        </w:rPr>
        <w:footnoteReference w:id="2"/>
      </w:r>
      <w:r>
        <w:rPr>
          <w:rFonts w:ascii="Times New Roman" w:hAnsi="Times New Roman" w:cs="Times New Roman"/>
          <w:b w:val="0"/>
          <w:bCs w:val="0"/>
        </w:rPr>
        <w:t xml:space="preserve"> предложения этого участника закупки в случае подачи им предложения о размере платы, подлежащей внесению за </w:t>
      </w:r>
      <w:r>
        <w:rPr>
          <w:rFonts w:ascii="Times New Roman" w:hAnsi="Times New Roman" w:cs="Times New Roman"/>
          <w:b w:val="0"/>
          <w:bCs w:val="0"/>
        </w:rPr>
        <w:t xml:space="preserve">заключение договора; </w:t>
      </w:r>
      <w:r>
        <w:rPr>
          <w:rFonts w:ascii="Times New Roman" w:hAnsi="Times New Roman" w:cs="Times New Roman"/>
          <w:b w:val="0"/>
          <w:bCs w:val="0"/>
        </w:rPr>
      </w:r>
    </w:p>
    <w:p>
      <w:pPr>
        <w:pStyle w:val="1118"/>
        <w:numPr>
          <w:ilvl w:val="0"/>
          <w:numId w:val="32"/>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в случае заключения договора с участником закупки, указанным в </w:t>
      </w:r>
      <w:r>
        <w:rPr>
          <w:rFonts w:ascii="Times New Roman" w:hAnsi="Times New Roman" w:cs="Times New Roman"/>
          <w:b w:val="0"/>
          <w:bCs w:val="0"/>
        </w:rPr>
        <w:t xml:space="preserve">пп</w:t>
      </w:r>
      <w:r>
        <w:rPr>
          <w:rFonts w:ascii="Times New Roman" w:hAnsi="Times New Roman" w:cs="Times New Roman"/>
          <w:b w:val="0"/>
          <w:bCs w:val="0"/>
        </w:rPr>
        <w:t xml:space="preserve">. а) настоящего пункта, договор заключается без учета снижения либо увеличения ценового предложения, </w:t>
      </w:r>
      <w:r>
        <w:rPr>
          <w:rFonts w:ascii="Times New Roman" w:hAnsi="Times New Roman" w:cs="Times New Roman"/>
          <w:b w:val="0"/>
          <w:bCs w:val="0"/>
        </w:rPr>
        <w:t xml:space="preserve">осуществленных</w:t>
      </w:r>
      <w:r>
        <w:rPr>
          <w:rFonts w:ascii="Times New Roman" w:hAnsi="Times New Roman" w:cs="Times New Roman"/>
          <w:b w:val="0"/>
          <w:bCs w:val="0"/>
        </w:rPr>
        <w:t xml:space="preserve"> в соответствии с </w:t>
      </w:r>
      <w:r>
        <w:rPr>
          <w:rFonts w:ascii="Times New Roman" w:hAnsi="Times New Roman" w:cs="Times New Roman"/>
          <w:b w:val="0"/>
          <w:bCs w:val="0"/>
        </w:rPr>
        <w:t xml:space="preserve">пп</w:t>
      </w:r>
      <w:r>
        <w:rPr>
          <w:rFonts w:ascii="Times New Roman" w:hAnsi="Times New Roman" w:cs="Times New Roman"/>
          <w:b w:val="0"/>
          <w:bCs w:val="0"/>
        </w:rPr>
        <w:t xml:space="preserve">. а) настоящего пункта; </w:t>
      </w:r>
      <w:r>
        <w:rPr>
          <w:rFonts w:ascii="Times New Roman" w:hAnsi="Times New Roman" w:cs="Times New Roman"/>
          <w:b w:val="0"/>
          <w:bCs w:val="0"/>
        </w:rPr>
      </w:r>
    </w:p>
    <w:p>
      <w:pPr>
        <w:pStyle w:val="1118"/>
        <w:numPr>
          <w:ilvl w:val="0"/>
          <w:numId w:val="32"/>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Pr>
          <w:rFonts w:ascii="Times New Roman" w:hAnsi="Times New Roman" w:cs="Times New Roman"/>
          <w:b w:val="0"/>
          <w:bCs w:val="0"/>
        </w:rPr>
      </w:r>
    </w:p>
    <w:p>
      <w:pPr>
        <w:pStyle w:val="1118"/>
        <w:numPr>
          <w:ilvl w:val="2"/>
          <w:numId w:val="48"/>
        </w:numPr>
        <w:ind w:left="142" w:firstLine="567"/>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 Если Правительством Российской Федерации установлен предусмотренный п. 1.7.2 а) настоящей документации запрет закупки работ, услуг, соответственно выполняемых, оказываемых иностранным лицом, не допускаются:</w:t>
      </w:r>
      <w:r>
        <w:rPr>
          <w:rFonts w:ascii="Times New Roman" w:hAnsi="Times New Roman" w:cs="Times New Roman"/>
          <w:b w:val="0"/>
          <w:bCs w:val="0"/>
        </w:rPr>
      </w:r>
    </w:p>
    <w:p>
      <w:pPr>
        <w:pStyle w:val="1118"/>
        <w:numPr>
          <w:ilvl w:val="0"/>
          <w:numId w:val="33"/>
        </w:numPr>
        <w:ind w:left="1418" w:hanging="774"/>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заключение договора на выполнение такой работы, оказание такой услуги с подрядчиком (исполнителем), являющимся иностранным лицом;</w:t>
      </w:r>
      <w:r>
        <w:rPr>
          <w:rFonts w:ascii="Times New Roman" w:hAnsi="Times New Roman" w:cs="Times New Roman"/>
          <w:b w:val="0"/>
          <w:bCs w:val="0"/>
        </w:rPr>
      </w:r>
    </w:p>
    <w:p>
      <w:pPr>
        <w:pStyle w:val="1118"/>
        <w:numPr>
          <w:ilvl w:val="0"/>
          <w:numId w:val="33"/>
        </w:numPr>
        <w:ind w:left="1418" w:hanging="774"/>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перемена подрядчика (</w:t>
      </w:r>
      <w:r>
        <w:rPr>
          <w:rFonts w:ascii="Times New Roman" w:hAnsi="Times New Roman" w:cs="Times New Roman"/>
          <w:b w:val="0"/>
          <w:bCs w:val="0"/>
        </w:rPr>
        <w:t xml:space="preserve">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r>
        <w:rPr>
          <w:rFonts w:ascii="Times New Roman" w:hAnsi="Times New Roman" w:cs="Times New Roman"/>
          <w:b w:val="0"/>
          <w:bCs w:val="0"/>
        </w:rPr>
      </w:r>
    </w:p>
    <w:p>
      <w:pPr>
        <w:pStyle w:val="1118"/>
        <w:numPr>
          <w:ilvl w:val="2"/>
          <w:numId w:val="49"/>
        </w:numPr>
        <w:ind w:left="142" w:firstLine="567"/>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подпунктом п. 1.7.2 б) настоящей документации ограничение закупки работ, услуг, соответственно выполняемых, оказываемых иностранным лицом, не допускаются:</w:t>
      </w:r>
      <w:r>
        <w:rPr>
          <w:rFonts w:ascii="Times New Roman" w:hAnsi="Times New Roman" w:cs="Times New Roman"/>
          <w:b w:val="0"/>
          <w:bCs w:val="0"/>
        </w:rPr>
      </w:r>
    </w:p>
    <w:p>
      <w:pPr>
        <w:pStyle w:val="1118"/>
        <w:numPr>
          <w:ilvl w:val="0"/>
          <w:numId w:val="34"/>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w:t>
      </w:r>
      <w:r>
        <w:rPr>
          <w:rFonts w:ascii="Times New Roman" w:hAnsi="Times New Roman" w:cs="Times New Roman"/>
          <w:b w:val="0"/>
          <w:bCs w:val="0"/>
        </w:rPr>
        <w:t xml:space="preserve">е, признанные по результатам их рассмотрения соответствующими требованиям Стандарта,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r>
        <w:rPr>
          <w:rFonts w:ascii="Times New Roman" w:hAnsi="Times New Roman" w:cs="Times New Roman"/>
          <w:b w:val="0"/>
          <w:bCs w:val="0"/>
        </w:rPr>
      </w:r>
    </w:p>
    <w:p>
      <w:pPr>
        <w:pStyle w:val="1118"/>
        <w:numPr>
          <w:ilvl w:val="0"/>
          <w:numId w:val="34"/>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перемена подрядчика (исполнителя) (в случае, если эта перем</w:t>
      </w:r>
      <w:r>
        <w:rPr>
          <w:rFonts w:ascii="Times New Roman" w:hAnsi="Times New Roman" w:cs="Times New Roman"/>
          <w:b w:val="0"/>
          <w:bCs w:val="0"/>
        </w:rPr>
        <w:t xml:space="preserve">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r>
        <w:rPr>
          <w:rFonts w:ascii="Times New Roman" w:hAnsi="Times New Roman" w:cs="Times New Roman"/>
          <w:b w:val="0"/>
          <w:bCs w:val="0"/>
        </w:rPr>
      </w:r>
    </w:p>
    <w:p>
      <w:pPr>
        <w:pStyle w:val="1118"/>
        <w:numPr>
          <w:ilvl w:val="2"/>
          <w:numId w:val="50"/>
        </w:numPr>
        <w:ind w:left="1418" w:hanging="709"/>
        <w:keepNext w:val="0"/>
        <w:spacing w:before="0" w:after="120"/>
        <w:widowControl w:val="off"/>
        <w:tabs>
          <w:tab w:val="left" w:pos="142" w:leader="none"/>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Правительством Российской Федерации установлено предусмотренное 1.7.2 в) настоящей документации преимущество в отношении работ, услуг, соответственно выполняемых, оказываемых российским лицом:</w:t>
      </w:r>
      <w:r>
        <w:rPr>
          <w:rFonts w:ascii="Times New Roman" w:hAnsi="Times New Roman" w:cs="Times New Roman"/>
          <w:b w:val="0"/>
          <w:bCs w:val="0"/>
        </w:rPr>
      </w:r>
    </w:p>
    <w:p>
      <w:pPr>
        <w:pStyle w:val="1118"/>
        <w:numPr>
          <w:ilvl w:val="0"/>
          <w:numId w:val="35"/>
        </w:numPr>
        <w:ind w:left="1418" w:hanging="774"/>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(процентов) ценового предлож</w:t>
      </w:r>
      <w:r>
        <w:rPr>
          <w:rFonts w:ascii="Times New Roman" w:hAnsi="Times New Roman" w:cs="Times New Roman"/>
          <w:b w:val="0"/>
          <w:bCs w:val="0"/>
        </w:rPr>
        <w:t xml:space="preserve">ения, поданного участником закупки, являющимся российским лицом,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Pr>
          <w:rFonts w:ascii="Times New Roman" w:hAnsi="Times New Roman" w:cs="Times New Roman"/>
          <w:b w:val="0"/>
          <w:bCs w:val="0"/>
        </w:rPr>
      </w:r>
    </w:p>
    <w:p>
      <w:pPr>
        <w:pStyle w:val="1118"/>
        <w:numPr>
          <w:ilvl w:val="0"/>
          <w:numId w:val="35"/>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в случае заключения договора с участником закупки, указанным в </w:t>
      </w:r>
      <w:r>
        <w:rPr>
          <w:rFonts w:ascii="Times New Roman" w:hAnsi="Times New Roman" w:cs="Times New Roman"/>
          <w:b w:val="0"/>
          <w:bCs w:val="0"/>
        </w:rPr>
        <w:t xml:space="preserve">пп</w:t>
      </w:r>
      <w:r>
        <w:rPr>
          <w:rFonts w:ascii="Times New Roman" w:hAnsi="Times New Roman" w:cs="Times New Roman"/>
          <w:b w:val="0"/>
          <w:bCs w:val="0"/>
        </w:rPr>
        <w:t xml:space="preserve"> а) настоящего пункта, договор заключается без учета снижения либо увеличения ценового предложения, </w:t>
      </w:r>
      <w:r>
        <w:rPr>
          <w:rFonts w:ascii="Times New Roman" w:hAnsi="Times New Roman" w:cs="Times New Roman"/>
          <w:b w:val="0"/>
          <w:bCs w:val="0"/>
        </w:rPr>
        <w:t xml:space="preserve">осуществленных</w:t>
      </w:r>
      <w:r>
        <w:rPr>
          <w:rFonts w:ascii="Times New Roman" w:hAnsi="Times New Roman" w:cs="Times New Roman"/>
          <w:b w:val="0"/>
          <w:bCs w:val="0"/>
        </w:rPr>
        <w:t xml:space="preserve"> в соответствии с </w:t>
      </w:r>
      <w:r>
        <w:rPr>
          <w:rFonts w:ascii="Times New Roman" w:hAnsi="Times New Roman" w:cs="Times New Roman"/>
          <w:b w:val="0"/>
          <w:bCs w:val="0"/>
        </w:rPr>
        <w:t xml:space="preserve">пп</w:t>
      </w:r>
      <w:r>
        <w:rPr>
          <w:rFonts w:ascii="Times New Roman" w:hAnsi="Times New Roman" w:cs="Times New Roman"/>
          <w:b w:val="0"/>
          <w:bCs w:val="0"/>
        </w:rPr>
        <w:t xml:space="preserve">. а) настоящего пункта;</w:t>
      </w:r>
      <w:r>
        <w:rPr>
          <w:rFonts w:ascii="Times New Roman" w:hAnsi="Times New Roman" w:cs="Times New Roman"/>
          <w:b w:val="0"/>
          <w:bCs w:val="0"/>
        </w:rPr>
      </w:r>
    </w:p>
    <w:p>
      <w:pPr>
        <w:pStyle w:val="1118"/>
        <w:numPr>
          <w:ilvl w:val="0"/>
          <w:numId w:val="35"/>
        </w:numPr>
        <w:ind w:left="1418" w:hanging="709"/>
        <w:keepNext w:val="0"/>
        <w:spacing w:before="0" w:after="120"/>
        <w:widowControl w:val="off"/>
        <w:tabs>
          <w:tab w:val="left" w:pos="142" w:leader="none"/>
        </w:tabs>
        <w:rPr>
          <w:rFonts w:ascii="Times New Roman" w:hAnsi="Times New Roman" w:cs="Times New Roman"/>
          <w:b w:val="0"/>
          <w:bCs w:val="0"/>
        </w:rPr>
      </w:pPr>
      <w:r>
        <w:rPr>
          <w:rFonts w:ascii="Times New Roman" w:hAnsi="Times New Roman" w:cs="Times New Roman"/>
          <w:b w:val="0"/>
          <w:bCs w:val="0"/>
        </w:rPr>
        <w:t xml:space="preserve">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Pr>
          <w:rFonts w:ascii="Times New Roman" w:hAnsi="Times New Roman" w:cs="Times New Roman"/>
          <w:b w:val="0"/>
          <w:bCs w:val="0"/>
        </w:rPr>
      </w:r>
    </w:p>
    <w:p>
      <w:pPr>
        <w:pStyle w:val="1118"/>
        <w:numPr>
          <w:ilvl w:val="2"/>
          <w:numId w:val="51"/>
        </w:numPr>
        <w:ind w:left="142" w:firstLine="709"/>
        <w:keepNext w:val="0"/>
        <w:spacing w:before="0" w:after="120"/>
        <w:widowControl w:val="off"/>
        <w:tabs>
          <w:tab w:val="left" w:pos="142" w:leader="none"/>
          <w:tab w:val="left" w:pos="454" w:leader="none"/>
        </w:tabs>
        <w:rPr>
          <w:rFonts w:ascii="Times New Roman" w:hAnsi="Times New Roman" w:cs="Times New Roman"/>
          <w:b w:val="0"/>
          <w:bCs w:val="0"/>
        </w:rPr>
      </w:pPr>
      <w:r/>
      <w:bookmarkStart w:id="60" w:name="_Ref11225299_Копия_1"/>
      <w:r/>
      <w:bookmarkEnd w:id="60"/>
      <w:r>
        <w:rPr>
          <w:rFonts w:ascii="Times New Roman" w:hAnsi="Times New Roman" w:cs="Times New Roman"/>
          <w:b w:val="0"/>
          <w:bCs w:val="0"/>
        </w:rPr>
        <w:t xml:space="preserve">В случае</w:t>
      </w:r>
      <w:r>
        <w:rPr>
          <w:rFonts w:ascii="Times New Roman" w:hAnsi="Times New Roman" w:cs="Times New Roman"/>
          <w:b w:val="0"/>
          <w:bCs w:val="0"/>
        </w:rPr>
        <w:t xml:space="preserve">,</w:t>
      </w:r>
      <w:r>
        <w:rPr>
          <w:rFonts w:ascii="Times New Roman" w:hAnsi="Times New Roman" w:cs="Times New Roman"/>
          <w:b w:val="0"/>
          <w:bCs w:val="0"/>
        </w:rPr>
        <w:t xml:space="preserve"> если в Часть V «Техническая часть», включены товары, указанные в Приложении </w:t>
      </w:r>
      <w:r>
        <w:rPr>
          <w:rFonts w:ascii="Times New Roman" w:hAnsi="Times New Roman" w:cs="Times New Roman"/>
          <w:b w:val="0"/>
          <w:bCs w:val="0"/>
        </w:rPr>
        <w:t xml:space="preserve"> № 1 и Приложении № 2 к постановлению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w:t>
      </w:r>
      <w:r>
        <w:rPr>
          <w:rFonts w:ascii="Times New Roman" w:hAnsi="Times New Roman" w:cs="Times New Roman"/>
          <w:b w:val="0"/>
          <w:bCs w:val="0"/>
        </w:rPr>
        <w:t xml:space="preserve">отдельными видами юридических лиц, об изменении и признании утратившими силу некоторых актов Правительства Российской Федерации» (далее – перечень № 1 и перечень №  2 соответственно),  а также товары, не включенные в указанные перечни, Закупочная комиссия:</w:t>
      </w:r>
      <w:r>
        <w:rPr>
          <w:rFonts w:ascii="Times New Roman" w:hAnsi="Times New Roman" w:cs="Times New Roman"/>
          <w:b w:val="0"/>
          <w:bCs w:val="0"/>
        </w:rPr>
      </w:r>
    </w:p>
    <w:p>
      <w:pPr>
        <w:pStyle w:val="1118"/>
        <w:numPr>
          <w:ilvl w:val="3"/>
          <w:numId w:val="52"/>
        </w:numPr>
        <w:ind w:left="0" w:firstLine="709"/>
        <w:keepNext w:val="0"/>
        <w:spacing w:before="0" w:after="120"/>
        <w:widowControl w:val="off"/>
        <w:tabs>
          <w:tab w:val="left" w:pos="142" w:leader="none"/>
          <w:tab w:val="left" w:pos="454" w:leader="none"/>
          <w:tab w:val="left" w:pos="1701" w:leader="none"/>
        </w:tabs>
        <w:rPr>
          <w:rFonts w:ascii="Times New Roman" w:hAnsi="Times New Roman" w:cs="Times New Roman"/>
          <w:b w:val="0"/>
          <w:bCs w:val="0"/>
        </w:rPr>
      </w:pPr>
      <w:r>
        <w:rPr>
          <w:rFonts w:ascii="Times New Roman" w:hAnsi="Times New Roman" w:cs="Times New Roman"/>
          <w:b w:val="0"/>
          <w:bCs w:val="0"/>
        </w:rPr>
        <w:t xml:space="preserve">Рассматривает представленные в заявках на участие в закупке информацию и документы, подтверждающие страну происхождения товара, указанного в перечне № 1, в соответствии с частью V «Техническая часть». </w:t>
      </w:r>
      <w:r>
        <w:rPr>
          <w:rFonts w:ascii="Times New Roman" w:hAnsi="Times New Roman" w:cs="Times New Roman"/>
          <w:b w:val="0"/>
          <w:bCs w:val="0"/>
        </w:rPr>
        <w:t xml:space="preserve">Если в заявке участника отсутствует информация и документы, подтверждающие страну происхождения товара, указанного в части V «Техническая часть», и/или фактическая дата прек</w:t>
      </w:r>
      <w:r>
        <w:rPr>
          <w:rFonts w:ascii="Times New Roman" w:hAnsi="Times New Roman" w:cs="Times New Roman"/>
          <w:b w:val="0"/>
          <w:bCs w:val="0"/>
        </w:rPr>
        <w:t xml:space="preserve">ращения действия реестровой записи  или срок действия сертификата СТ-1  к моменту первоначально установленного Извещением о закупке срока подачи заявок участников, истекли, то такой товар признается иностранным (происходящим из иностранного государства).  </w:t>
      </w:r>
      <w:r>
        <w:rPr>
          <w:rFonts w:ascii="Times New Roman" w:hAnsi="Times New Roman" w:cs="Times New Roman"/>
          <w:b w:val="0"/>
          <w:bCs w:val="0"/>
        </w:rPr>
      </w:r>
    </w:p>
    <w:p>
      <w:pPr>
        <w:ind w:firstLine="709"/>
        <w:spacing w:after="120"/>
        <w:tabs>
          <w:tab w:val="center" w:pos="5457" w:leader="none"/>
        </w:tabs>
        <w:rPr>
          <w:highlight w:val="white"/>
        </w:rPr>
      </w:pPr>
      <w:r>
        <w:rPr>
          <w:highlight w:val="white"/>
        </w:rPr>
        <w:t xml:space="preserve">Наличие в заявке на участие в закупке предложения о поставке товара, происходящего из иностранного государства (в том числе признаваемого таковым по основаниям, предусмотренным в абзаце 2 настоящего пункта), является основанием для ее отклонения. </w:t>
      </w:r>
      <w:r>
        <w:rPr>
          <w:highlight w:val="white"/>
        </w:rPr>
      </w:r>
    </w:p>
    <w:p>
      <w:pPr>
        <w:pStyle w:val="1118"/>
        <w:numPr>
          <w:ilvl w:val="3"/>
          <w:numId w:val="53"/>
        </w:numPr>
        <w:ind w:left="0" w:firstLine="709"/>
        <w:keepNext w:val="0"/>
        <w:spacing w:before="0" w:after="120"/>
        <w:widowControl w:val="off"/>
        <w:tabs>
          <w:tab w:val="left" w:pos="142" w:leader="none"/>
          <w:tab w:val="left" w:pos="454" w:leader="none"/>
          <w:tab w:val="left" w:pos="1701" w:leader="none"/>
        </w:tabs>
        <w:rPr>
          <w:rFonts w:ascii="Times New Roman" w:hAnsi="Times New Roman" w:cs="Times New Roman"/>
          <w:b w:val="0"/>
          <w:bCs w:val="0"/>
        </w:rPr>
      </w:pPr>
      <w:r>
        <w:rPr>
          <w:rFonts w:ascii="Times New Roman" w:hAnsi="Times New Roman" w:cs="Times New Roman"/>
          <w:b w:val="0"/>
          <w:bCs w:val="0"/>
        </w:rPr>
        <w:t xml:space="preserve">Рассматривает представленные в заявках на участие в закупке информацию и документы, подтверждающие страну происхождения товара, указанного </w:t>
      </w:r>
      <w:r>
        <w:rPr>
          <w:rFonts w:ascii="Times New Roman" w:hAnsi="Times New Roman" w:cs="Times New Roman"/>
          <w:b w:val="0"/>
          <w:bCs w:val="0"/>
        </w:rPr>
        <w:br w:type="textWrapping" w:clear="all"/>
        <w:t xml:space="preserve">в перечне № 2, в соответствии с частью V «Техническая часть». </w:t>
      </w:r>
      <w:r>
        <w:rPr>
          <w:rFonts w:ascii="Times New Roman" w:hAnsi="Times New Roman" w:cs="Times New Roman"/>
          <w:b w:val="0"/>
          <w:bCs w:val="0"/>
        </w:rPr>
      </w:r>
    </w:p>
    <w:p>
      <w:pPr>
        <w:ind w:firstLine="709"/>
        <w:spacing w:after="120"/>
        <w:tabs>
          <w:tab w:val="center" w:pos="5457" w:leader="none"/>
        </w:tabs>
        <w:rPr>
          <w:highlight w:val="white"/>
        </w:rPr>
      </w:pPr>
      <w:r>
        <w:rPr>
          <w:highlight w:val="white"/>
        </w:rPr>
        <w:t xml:space="preserve">Если в заявке участника отсутствует информация и документы, подтверждающие страну происхождения товара, указанные </w:t>
      </w:r>
      <w:r>
        <w:rPr>
          <w:spacing w:val="-6"/>
          <w:highlight w:val="white"/>
        </w:rPr>
        <w:t xml:space="preserve">в части V «Техническая часть»</w:t>
      </w:r>
      <w:r>
        <w:rPr>
          <w:highlight w:val="white"/>
        </w:rPr>
        <w:t xml:space="preserve">, </w:t>
      </w:r>
      <w:r>
        <w:t xml:space="preserve">или фактическая дата прекращения  действия реестровой записи из реестра российской промышленной продукции или срок действия сертификата СТ-1 для подтверждения продукции из Евразийского реестра промышленных </w:t>
      </w:r>
      <w:r>
        <w:t xml:space="preserve">товаров</w:t>
      </w:r>
      <w:r>
        <w:t xml:space="preserve">  к моменту первоначально установленного Извещением о закупке срока подачи заявок участников, истекли, </w:t>
      </w:r>
      <w:r>
        <w:rPr>
          <w:highlight w:val="white"/>
        </w:rPr>
        <w:t xml:space="preserve">то такой товар признается иностранным (происходящим из иностранного государства).  </w:t>
      </w:r>
      <w:r>
        <w:rPr>
          <w:highlight w:val="white"/>
        </w:rPr>
      </w:r>
    </w:p>
    <w:p>
      <w:pPr>
        <w:ind w:firstLine="709"/>
        <w:spacing w:after="120"/>
        <w:tabs>
          <w:tab w:val="center" w:pos="5457" w:leader="none"/>
        </w:tabs>
        <w:rPr>
          <w:highlight w:val="white"/>
        </w:rPr>
      </w:pPr>
      <w:r>
        <w:rPr>
          <w:highlight w:val="white"/>
        </w:rPr>
        <w:t xml:space="preserve">Наличие в заявке на участие в закупке предложения о поставке </w:t>
      </w:r>
      <w:r>
        <w:rPr>
          <w:highlight w:val="white"/>
        </w:rPr>
        <w:br/>
        <w:t xml:space="preserve">такого товара, происходящего из иностранного (в том числе признаваемого таковым по основаниям, предусмотренным в абзаце 2 настоящег</w:t>
      </w:r>
      <w:r>
        <w:rPr>
          <w:highlight w:val="white"/>
        </w:rPr>
        <w:t xml:space="preserve">о пункта), является основанием для ее отклонения, если на участие в закупке также подана соответствующая установленным документацией о закупке требованиям заявка, содержащая в отношении такого товара предложение о поставке товара российского происхождения.</w:t>
      </w:r>
      <w:r>
        <w:rPr>
          <w:highlight w:val="white"/>
        </w:rPr>
      </w:r>
    </w:p>
    <w:p>
      <w:pPr>
        <w:pStyle w:val="1118"/>
        <w:numPr>
          <w:ilvl w:val="3"/>
          <w:numId w:val="54"/>
        </w:numPr>
        <w:ind w:left="0" w:firstLine="709"/>
        <w:keepNext w:val="0"/>
        <w:spacing w:before="0" w:after="120"/>
        <w:widowControl w:val="off"/>
        <w:tabs>
          <w:tab w:val="left" w:pos="142" w:leader="none"/>
          <w:tab w:val="left" w:pos="454" w:leader="none"/>
          <w:tab w:val="left" w:pos="1701" w:leader="none"/>
        </w:tabs>
        <w:rPr>
          <w:rFonts w:ascii="Times New Roman" w:hAnsi="Times New Roman" w:cs="Times New Roman"/>
          <w:b w:val="0"/>
          <w:bCs w:val="0"/>
        </w:rPr>
      </w:pPr>
      <w:r>
        <w:rPr>
          <w:rFonts w:ascii="Times New Roman" w:hAnsi="Times New Roman" w:cs="Times New Roman"/>
          <w:b w:val="0"/>
          <w:bCs w:val="0"/>
        </w:rPr>
        <w:t xml:space="preserve">Рассматривает представленные в технической части заявок на участие в закупке информацию и документы, подтверждающие страну происхождения товара, не указанного в перечнях № 1 и № 2. </w:t>
      </w:r>
      <w:r>
        <w:rPr>
          <w:rFonts w:ascii="Times New Roman" w:hAnsi="Times New Roman" w:cs="Times New Roman"/>
          <w:b w:val="0"/>
          <w:bCs w:val="0"/>
        </w:rPr>
      </w:r>
    </w:p>
    <w:p>
      <w:pPr>
        <w:ind w:firstLine="709"/>
        <w:spacing w:after="120"/>
        <w:tabs>
          <w:tab w:val="left" w:pos="993" w:leader="none"/>
        </w:tabs>
        <w:rPr>
          <w:highlight w:val="white"/>
        </w:rPr>
      </w:pPr>
      <w:r>
        <w:rPr>
          <w:highlight w:val="white"/>
        </w:rPr>
        <w:t xml:space="preserve">Заявка на участие в закупке получит преимущество, при одновременном соблюдении следующих условий:</w:t>
      </w:r>
      <w:r>
        <w:rPr>
          <w:highlight w:val="white"/>
        </w:rPr>
      </w:r>
    </w:p>
    <w:p>
      <w:pPr>
        <w:numPr>
          <w:ilvl w:val="0"/>
          <w:numId w:val="28"/>
        </w:numPr>
        <w:ind w:left="1701" w:hanging="992"/>
        <w:spacing w:after="120"/>
        <w:tabs>
          <w:tab w:val="left" w:pos="1701" w:leader="none"/>
        </w:tabs>
        <w:rPr>
          <w:highlight w:val="white"/>
        </w:rPr>
      </w:pPr>
      <w:r>
        <w:rPr>
          <w:highlight w:val="white"/>
        </w:rPr>
        <w:t xml:space="preserve">она не подлежит отклонению при применении запрета и ограничения </w:t>
      </w:r>
      <w:r>
        <w:rPr>
          <w:highlight w:val="white"/>
        </w:rPr>
        <w:br/>
        <w:t xml:space="preserve">и соответствует установленным требованиям документации;</w:t>
      </w:r>
      <w:r>
        <w:rPr>
          <w:highlight w:val="white"/>
        </w:rPr>
      </w:r>
    </w:p>
    <w:p>
      <w:pPr>
        <w:numPr>
          <w:ilvl w:val="0"/>
          <w:numId w:val="28"/>
        </w:numPr>
        <w:ind w:left="1701" w:hanging="992"/>
        <w:spacing w:after="120"/>
        <w:tabs>
          <w:tab w:val="left" w:pos="1701" w:leader="none"/>
        </w:tabs>
        <w:rPr>
          <w:highlight w:val="white"/>
        </w:rPr>
      </w:pPr>
      <w:r>
        <w:rPr>
          <w:highlight w:val="white"/>
        </w:rPr>
        <w:t xml:space="preserve">содержит предложение о поставке товаров только российского происхождения (то есть заявка содержит предложение о поставке всех товаров российского происхождения, в том </w:t>
      </w:r>
      <w:r>
        <w:rPr>
          <w:highlight w:val="white"/>
        </w:rPr>
        <w:t xml:space="preserve">числе</w:t>
      </w:r>
      <w:r>
        <w:rPr>
          <w:highlight w:val="white"/>
        </w:rPr>
        <w:t xml:space="preserve"> на которые распространяется запрет, ограничение, преимущество);</w:t>
      </w:r>
      <w:r>
        <w:rPr>
          <w:highlight w:val="white"/>
        </w:rPr>
      </w:r>
    </w:p>
    <w:p>
      <w:pPr>
        <w:numPr>
          <w:ilvl w:val="0"/>
          <w:numId w:val="28"/>
        </w:numPr>
        <w:ind w:left="1701" w:hanging="992"/>
        <w:spacing w:after="120"/>
        <w:tabs>
          <w:tab w:val="left" w:pos="1701" w:leader="none"/>
        </w:tabs>
        <w:rPr>
          <w:highlight w:val="white"/>
        </w:rPr>
      </w:pPr>
      <w:r>
        <w:rPr>
          <w:highlight w:val="white"/>
        </w:rPr>
        <w:t xml:space="preserve">в числе заявок на участие в закупке, в отношении которых отсутствуют основания для отклонения, имеется заявка на участие в закупке, содержащая предложение о поставке хотя бы одного товара, происходящего из иностранного государства.</w:t>
      </w:r>
      <w:r>
        <w:rPr>
          <w:highlight w:val="white"/>
        </w:rPr>
      </w:r>
    </w:p>
    <w:p>
      <w:pPr>
        <w:ind w:firstLine="709"/>
        <w:spacing w:after="120"/>
        <w:tabs>
          <w:tab w:val="center" w:pos="5457" w:leader="none"/>
        </w:tabs>
      </w:pPr>
      <w:r>
        <w:rPr>
          <w:highlight w:val="white"/>
        </w:rPr>
        <w:t xml:space="preserve">В случаях, если по основаниям, предусмотренным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w:t>
      </w:r>
      <w:r>
        <w:rPr>
          <w:highlight w:val="white"/>
        </w:rPr>
        <w:t xml:space="preserve">и муниципальных нужд, закупок товаров, работ, услуг отдельными видами юридических лиц, об изменении и признании утратившими силу некоторых актов Правительства Российской Федерации», документацией о закупке к определенным товарам  не применяются меры в виде</w:t>
      </w:r>
      <w:r>
        <w:rPr>
          <w:highlight w:val="white"/>
        </w:rPr>
        <w:t xml:space="preserve"> запретов и/или ограничений, то к таким товарам применяется преимущество.</w:t>
      </w:r>
      <w:r/>
    </w:p>
    <w:p>
      <w:pPr>
        <w:ind w:firstLine="709"/>
        <w:spacing w:after="120"/>
        <w:tabs>
          <w:tab w:val="center" w:pos="5457" w:leader="none"/>
        </w:tabs>
        <w:rPr>
          <w:color w:val="000000" w:themeColor="text1"/>
        </w:rPr>
      </w:pPr>
      <w:r>
        <w:rPr>
          <w:color w:val="000000" w:themeColor="text1"/>
        </w:rPr>
      </w:r>
      <w:r>
        <w:rPr>
          <w:color w:val="000000" w:themeColor="text1"/>
        </w:rPr>
      </w:r>
    </w:p>
    <w:p>
      <w:pPr>
        <w:pStyle w:val="1116"/>
        <w:numPr>
          <w:ilvl w:val="0"/>
          <w:numId w:val="1"/>
        </w:numPr>
        <w:ind w:left="0" w:firstLine="709"/>
        <w:jc w:val="both"/>
        <w:keepNext w:val="0"/>
        <w:spacing w:before="0" w:after="120"/>
        <w:widowControl w:val="off"/>
        <w:rPr>
          <w:sz w:val="24"/>
          <w:szCs w:val="24"/>
        </w:rPr>
      </w:pPr>
      <w:r/>
      <w:bookmarkStart w:id="61" w:name="_Toc166101207"/>
      <w:r/>
      <w:bookmarkStart w:id="62" w:name="_Toc123405462"/>
      <w:r/>
      <w:bookmarkStart w:id="63" w:name="_Toc126935826"/>
      <w:r/>
      <w:bookmarkStart w:id="64" w:name="_Toc132974741"/>
      <w:r/>
      <w:bookmarkStart w:id="65" w:name="_Toc224649961"/>
      <w:r/>
      <w:bookmarkStart w:id="66" w:name="_Toc236307192"/>
      <w:r>
        <w:rPr>
          <w:sz w:val="24"/>
          <w:szCs w:val="24"/>
        </w:rPr>
        <w:t xml:space="preserve">ДОКУМЕНТАЦИЯ</w:t>
      </w:r>
      <w:bookmarkEnd w:id="61"/>
      <w:r/>
      <w:bookmarkEnd w:id="62"/>
      <w:r>
        <w:rPr>
          <w:sz w:val="24"/>
          <w:szCs w:val="24"/>
        </w:rPr>
        <w:t xml:space="preserve"> О ЗАКУПКЕ</w:t>
      </w:r>
      <w:bookmarkEnd w:id="63"/>
      <w:r/>
      <w:bookmarkEnd w:id="64"/>
      <w:r/>
      <w:bookmarkEnd w:id="65"/>
      <w:r/>
      <w:bookmarkEnd w:id="66"/>
      <w:r/>
      <w:r>
        <w:rPr>
          <w:sz w:val="24"/>
          <w:szCs w:val="24"/>
        </w:rPr>
      </w:r>
    </w:p>
    <w:p>
      <w:pPr>
        <w:pStyle w:val="1117"/>
        <w:numPr>
          <w:ilvl w:val="1"/>
          <w:numId w:val="1"/>
        </w:numPr>
        <w:ind w:left="0" w:firstLine="709"/>
        <w:jc w:val="left"/>
        <w:keepNext w:val="0"/>
        <w:spacing w:after="120"/>
        <w:widowControl w:val="off"/>
        <w:rPr>
          <w:sz w:val="24"/>
          <w:szCs w:val="24"/>
        </w:rPr>
      </w:pPr>
      <w:r/>
      <w:bookmarkStart w:id="67" w:name="_Toc169628374"/>
      <w:r/>
      <w:bookmarkStart w:id="68" w:name="_Toc123405463"/>
      <w:r/>
      <w:bookmarkStart w:id="69" w:name="_Toc13035844"/>
      <w:r/>
      <w:bookmarkStart w:id="70" w:name="_Ref11225592"/>
      <w:r/>
      <w:bookmarkStart w:id="71" w:name="_Toc132974742"/>
      <w:r/>
      <w:bookmarkStart w:id="72" w:name="_Toc126935827"/>
      <w:r/>
      <w:bookmarkStart w:id="73" w:name="_Toc224649962"/>
      <w:r/>
      <w:bookmarkStart w:id="74" w:name="_Toc236307193"/>
      <w:r>
        <w:rPr>
          <w:sz w:val="24"/>
          <w:szCs w:val="24"/>
        </w:rPr>
        <w:t xml:space="preserve">Предоставление документации</w:t>
      </w:r>
      <w:bookmarkEnd w:id="67"/>
      <w:r/>
      <w:bookmarkEnd w:id="68"/>
      <w:r/>
      <w:bookmarkEnd w:id="69"/>
      <w:r/>
      <w:bookmarkEnd w:id="70"/>
      <w:r>
        <w:rPr>
          <w:sz w:val="24"/>
          <w:szCs w:val="24"/>
        </w:rPr>
        <w:t xml:space="preserve"> о закупке</w:t>
      </w:r>
      <w:bookmarkEnd w:id="71"/>
      <w:r/>
      <w:bookmarkEnd w:id="72"/>
      <w:r/>
      <w:bookmarkEnd w:id="73"/>
      <w:r/>
      <w:bookmarkEnd w:id="74"/>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75" w:name="_Ref166101804"/>
      <w:r>
        <w:rPr>
          <w:rFonts w:ascii="Times New Roman" w:hAnsi="Times New Roman" w:cs="Times New Roman"/>
          <w:b w:val="0"/>
          <w:bCs w:val="0"/>
        </w:rPr>
        <w:t xml:space="preserve">Документация </w:t>
      </w:r>
      <w:r>
        <w:rPr>
          <w:rFonts w:ascii="Times New Roman" w:hAnsi="Times New Roman" w:cs="Times New Roman"/>
          <w:b w:val="0"/>
          <w:bCs w:val="0"/>
        </w:rPr>
        <w:t xml:space="preserve">о закупке в полном объеме в электронном виде безвозмездно доступна для ознакомления на официальном сайте</w:t>
      </w:r>
      <w:r>
        <w:rPr>
          <w:rFonts w:ascii="Times New Roman" w:hAnsi="Times New Roman" w:cs="Times New Roman"/>
          <w:b w:val="0"/>
          <w:bCs w:val="0"/>
        </w:rPr>
        <w:t xml:space="preserve"> Единой информационной системы www.zakupki.gov.ru, а также на сайте Единой электронной торговой площадки (далее – ЕЭТП) </w:t>
      </w:r>
      <w:hyperlink r:id="rId38" w:tooltip="https://corp.roseltorg.ru" w:history="1">
        <w:r>
          <w:rPr>
            <w:rStyle w:val="1177"/>
            <w:rFonts w:ascii="Times New Roman" w:hAnsi="Times New Roman" w:cs="Times New Roman"/>
            <w:b w:val="0"/>
            <w:bCs w:val="0"/>
          </w:rPr>
          <w:t xml:space="preserve">https://</w:t>
        </w:r>
        <w:r>
          <w:rPr>
            <w:rStyle w:val="1177"/>
            <w:rFonts w:ascii="Times New Roman" w:hAnsi="Times New Roman" w:cs="Times New Roman"/>
            <w:b w:val="0"/>
            <w:bCs w:val="0"/>
            <w:lang w:val="en-US"/>
          </w:rPr>
          <w:t xml:space="preserve">corp</w:t>
        </w:r>
        <w:r>
          <w:rPr>
            <w:rStyle w:val="1177"/>
            <w:rFonts w:ascii="Times New Roman" w:hAnsi="Times New Roman" w:cs="Times New Roman"/>
            <w:b w:val="0"/>
            <w:bCs w:val="0"/>
          </w:rPr>
          <w:t xml:space="preserve">.roseltorg.ru</w:t>
        </w:r>
      </w:hyperlink>
      <w:r>
        <w:rPr>
          <w:rFonts w:ascii="Times New Roman" w:hAnsi="Times New Roman" w:cs="Times New Roman"/>
          <w:b w:val="0"/>
          <w:bCs w:val="0"/>
        </w:rPr>
        <w:t xml:space="preserve">.</w:t>
      </w:r>
      <w:bookmarkEnd w:id="75"/>
      <w:r>
        <w:rPr>
          <w:rFonts w:ascii="Times New Roman" w:hAnsi="Times New Roman" w:cs="Times New Roman"/>
          <w:b w:val="0"/>
          <w:bCs w:val="0"/>
        </w:rPr>
        <w:t xml:space="preserve"> Срок начала предоставления документации о закупке устанавливается Заказчиком в извещении о закупке.</w:t>
      </w:r>
      <w:r>
        <w:rPr>
          <w:rFonts w:ascii="Times New Roman" w:hAnsi="Times New Roman" w:cs="Times New Roman"/>
          <w:b w:val="0"/>
          <w:bCs w:val="0"/>
        </w:rPr>
      </w:r>
    </w:p>
    <w:p>
      <w:pPr>
        <w:pStyle w:val="1117"/>
        <w:numPr>
          <w:ilvl w:val="1"/>
          <w:numId w:val="1"/>
        </w:numPr>
        <w:ind w:left="0" w:firstLine="709"/>
        <w:jc w:val="left"/>
        <w:keepNext w:val="0"/>
        <w:spacing w:after="120"/>
        <w:widowControl w:val="off"/>
        <w:rPr>
          <w:sz w:val="24"/>
          <w:szCs w:val="24"/>
        </w:rPr>
      </w:pPr>
      <w:r/>
      <w:bookmarkStart w:id="76" w:name="_Toc123405464"/>
      <w:r/>
      <w:bookmarkStart w:id="77" w:name="_Toc132974743"/>
      <w:r/>
      <w:bookmarkStart w:id="78" w:name="_Toc126935828"/>
      <w:r/>
      <w:bookmarkStart w:id="79" w:name="_Toc224649963"/>
      <w:r/>
      <w:bookmarkStart w:id="80" w:name="_Toc236307194"/>
      <w:r>
        <w:rPr>
          <w:sz w:val="24"/>
          <w:szCs w:val="24"/>
        </w:rPr>
        <w:t xml:space="preserve">Разъяснение положений документации</w:t>
      </w:r>
      <w:bookmarkEnd w:id="76"/>
      <w:r>
        <w:rPr>
          <w:sz w:val="24"/>
          <w:szCs w:val="24"/>
        </w:rPr>
        <w:t xml:space="preserve"> о закупке</w:t>
      </w:r>
      <w:bookmarkEnd w:id="77"/>
      <w:r/>
      <w:bookmarkEnd w:id="78"/>
      <w:r/>
      <w:bookmarkEnd w:id="79"/>
      <w:r/>
      <w:bookmarkEnd w:id="80"/>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Любой участник закупки вправе направить средствами электронной площадки Заказчику запрос о даче разъяснений положений документации о закупке. Порядок подачи запроса на разъяснения положений документации о закупке определяется </w:t>
      </w:r>
      <w:r>
        <w:rPr>
          <w:rFonts w:ascii="Times New Roman" w:hAnsi="Times New Roman" w:cs="Times New Roman"/>
          <w:b w:val="0"/>
        </w:rPr>
        <w:t xml:space="preserve">Регламентом работы ЕЭТП</w:t>
      </w:r>
      <w:r>
        <w:rPr>
          <w:rFonts w:ascii="Times New Roman" w:hAnsi="Times New Roman" w:cs="Times New Roman"/>
          <w:b w:val="0"/>
          <w:bCs w:val="0"/>
        </w:rPr>
        <w:t xml:space="preserve">. Дата и время окончания срока предоставления участникам закупки разъяснений положений документации о закупке указаны в пункте 13 части II «ИНФОРМАЦИОННАЯ КАРТА ЗАКУПКИ».</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81" w:name="_Ref166349349"/>
      <w:r>
        <w:rPr>
          <w:rFonts w:ascii="Times New Roman" w:hAnsi="Times New Roman" w:cs="Times New Roman"/>
          <w:b w:val="0"/>
          <w:bCs w:val="0"/>
        </w:rPr>
        <w:t xml:space="preserve">В течение трех рабочих дней </w:t>
      </w:r>
      <w:r>
        <w:rPr>
          <w:rFonts w:ascii="Times New Roman" w:hAnsi="Times New Roman" w:cs="Times New Roman"/>
          <w:b w:val="0"/>
          <w:bCs w:val="0"/>
        </w:rPr>
        <w:t xml:space="preserve">с даты поступления</w:t>
      </w:r>
      <w:r>
        <w:rPr>
          <w:rFonts w:ascii="Times New Roman" w:hAnsi="Times New Roman" w:cs="Times New Roman"/>
          <w:b w:val="0"/>
          <w:bCs w:val="0"/>
        </w:rPr>
        <w:t xml:space="preserve"> запроса, Заказчик осуществляет разъяснение положени</w:t>
      </w:r>
      <w:r>
        <w:rPr>
          <w:rFonts w:ascii="Times New Roman" w:hAnsi="Times New Roman" w:cs="Times New Roman"/>
          <w:b w:val="0"/>
          <w:bCs w:val="0"/>
        </w:rPr>
        <w:t xml:space="preserve">й документации о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r>
        <w:rPr>
          <w:rFonts w:ascii="Times New Roman" w:hAnsi="Times New Roman" w:cs="Times New Roman"/>
          <w:b w:val="0"/>
          <w:bCs w:val="0"/>
        </w:rPr>
        <w:t xml:space="preserve">позднее</w:t>
      </w:r>
      <w:r>
        <w:rPr>
          <w:rFonts w:ascii="Times New Roman" w:hAnsi="Times New Roman" w:cs="Times New Roman"/>
          <w:b w:val="0"/>
          <w:bCs w:val="0"/>
        </w:rPr>
        <w:t xml:space="preserve"> чем за 3 (три) рабочих дня до даты окончания срока подачи заявок на участие в такой закупке. </w:t>
      </w:r>
      <w:bookmarkEnd w:id="81"/>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Разъяснения положений документации о закупке не должны изменять предмет закупки и существенные условия проекта договора.</w:t>
      </w:r>
      <w:r>
        <w:rPr>
          <w:rFonts w:ascii="Times New Roman" w:hAnsi="Times New Roman" w:cs="Times New Roman"/>
          <w:b w:val="0"/>
          <w:bCs w:val="0"/>
        </w:rPr>
      </w:r>
    </w:p>
    <w:p>
      <w:pPr>
        <w:pStyle w:val="1117"/>
        <w:numPr>
          <w:ilvl w:val="1"/>
          <w:numId w:val="1"/>
        </w:numPr>
        <w:ind w:left="0" w:firstLine="709"/>
        <w:jc w:val="both"/>
        <w:keepNext w:val="0"/>
        <w:spacing w:after="120"/>
        <w:widowControl w:val="off"/>
        <w:rPr>
          <w:sz w:val="24"/>
          <w:szCs w:val="24"/>
        </w:rPr>
      </w:pPr>
      <w:r/>
      <w:bookmarkStart w:id="82" w:name="_Ref119429410"/>
      <w:r/>
      <w:bookmarkStart w:id="83" w:name="_Toc123405465"/>
      <w:r/>
      <w:bookmarkStart w:id="84" w:name="_Toc132974744"/>
      <w:r/>
      <w:bookmarkStart w:id="85" w:name="_Toc126935829"/>
      <w:r/>
      <w:bookmarkStart w:id="86" w:name="_Toc224649964"/>
      <w:r/>
      <w:bookmarkStart w:id="87" w:name="_Toc236307195"/>
      <w:r>
        <w:rPr>
          <w:sz w:val="24"/>
          <w:szCs w:val="24"/>
        </w:rPr>
        <w:t xml:space="preserve">Внесение изменений в извещение о </w:t>
      </w:r>
      <w:bookmarkEnd w:id="82"/>
      <w:r/>
      <w:bookmarkEnd w:id="83"/>
      <w:r>
        <w:rPr>
          <w:sz w:val="24"/>
          <w:szCs w:val="24"/>
        </w:rPr>
        <w:t xml:space="preserve">закупке и/или документацию о закупке</w:t>
      </w:r>
      <w:bookmarkEnd w:id="84"/>
      <w:r/>
      <w:bookmarkEnd w:id="85"/>
      <w:r/>
      <w:bookmarkEnd w:id="86"/>
      <w:r/>
      <w:bookmarkEnd w:id="87"/>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До окончания срока подачи заявок Заказчик может по любой причине внести изменения в извещение о закупке и/или документацию о закупке.</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rPr>
        <w:t xml:space="preserve">Изменения, вносимые в извещение о закупке и/или документацию о закупке, размещаются Заказчиком в ЕИС не позднее чем в течение 3 (трех) дней со дня принятия решения о внесении указанных изменений. </w:t>
      </w:r>
      <w:r>
        <w:rPr>
          <w:rFonts w:ascii="Times New Roman" w:hAnsi="Times New Roman" w:cs="Times New Roman"/>
          <w:b w:val="0"/>
          <w:bCs w:val="0"/>
        </w:rPr>
        <w:t xml:space="preserve">При этом </w:t>
      </w:r>
      <w:r>
        <w:rPr>
          <w:rFonts w:ascii="Times New Roman" w:hAnsi="Times New Roman" w:cs="Times New Roman"/>
          <w:b w:val="0"/>
        </w:rPr>
        <w:t xml:space="preserve">срок подачи заявок на участие в закупке должен быть продлен таким образом, чтобы </w:t>
      </w:r>
      <w:r>
        <w:rPr>
          <w:rFonts w:ascii="Times New Roman" w:hAnsi="Times New Roman" w:cs="Times New Roman"/>
          <w:b w:val="0"/>
        </w:rPr>
        <w:t xml:space="preserve">с даты размещения</w:t>
      </w:r>
      <w:r>
        <w:rPr>
          <w:rFonts w:ascii="Times New Roman" w:hAnsi="Times New Roman" w:cs="Times New Roman"/>
          <w:b w:val="0"/>
        </w:rPr>
        <w:t xml:space="preserve"> в ЕИС </w:t>
      </w:r>
      <w:r>
        <w:rPr>
          <w:rFonts w:ascii="Times New Roman" w:hAnsi="Times New Roman" w:cs="Times New Roman"/>
          <w:b w:val="0"/>
        </w:rPr>
        <w:t xml:space="preserve">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Положении о закупке.</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Заказчик не несет ответственности в случае, если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не ознакомился с изменениями, внесенными в извещение о закупке и/или документацию о закупке, размещенными надлежащим образом. </w:t>
      </w:r>
      <w:r>
        <w:rPr>
          <w:rFonts w:ascii="Times New Roman" w:hAnsi="Times New Roman" w:cs="Times New Roman"/>
          <w:b w:val="0"/>
          <w:bCs w:val="0"/>
        </w:rPr>
      </w:r>
    </w:p>
    <w:p>
      <w:pPr>
        <w:pStyle w:val="1117"/>
        <w:numPr>
          <w:ilvl w:val="1"/>
          <w:numId w:val="1"/>
        </w:numPr>
        <w:ind w:left="0" w:firstLine="709"/>
        <w:jc w:val="left"/>
        <w:keepNext w:val="0"/>
        <w:spacing w:after="120"/>
        <w:widowControl w:val="off"/>
        <w:rPr>
          <w:sz w:val="24"/>
          <w:szCs w:val="24"/>
        </w:rPr>
      </w:pPr>
      <w:r/>
      <w:bookmarkStart w:id="88" w:name="_Toc123405466"/>
      <w:r/>
      <w:bookmarkStart w:id="89" w:name="_Toc126935830"/>
      <w:r/>
      <w:bookmarkStart w:id="90" w:name="_Toc132974745"/>
      <w:r/>
      <w:bookmarkStart w:id="91" w:name="_Toc224649965"/>
      <w:r/>
      <w:bookmarkStart w:id="92" w:name="_Toc236307196"/>
      <w:r>
        <w:rPr>
          <w:sz w:val="24"/>
          <w:szCs w:val="24"/>
        </w:rPr>
        <w:t xml:space="preserve">Отмена </w:t>
      </w:r>
      <w:bookmarkEnd w:id="88"/>
      <w:r>
        <w:rPr>
          <w:sz w:val="24"/>
          <w:szCs w:val="24"/>
        </w:rPr>
        <w:t xml:space="preserve">закупки</w:t>
      </w:r>
      <w:bookmarkEnd w:id="89"/>
      <w:r/>
      <w:bookmarkEnd w:id="90"/>
      <w:r/>
      <w:bookmarkEnd w:id="91"/>
      <w:r/>
      <w:bookmarkEnd w:id="92"/>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93" w:name="_Ref166158219"/>
      <w:r>
        <w:rPr>
          <w:rFonts w:ascii="Times New Roman" w:hAnsi="Times New Roman" w:cs="Times New Roman"/>
          <w:b w:val="0"/>
          <w:bCs w:val="0"/>
        </w:rPr>
        <w:t xml:space="preserve">Заказчик вправе отменить закупку по одному и более предмету закупки (лоту) до наступления даты и времени окончания срока подачи заявок на участие в закупке.</w:t>
      </w:r>
      <w:bookmarkEnd w:id="93"/>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94" w:name="_Ref166349406"/>
      <w:r/>
      <w:bookmarkEnd w:id="94"/>
      <w:r>
        <w:rPr>
          <w:rFonts w:ascii="Times New Roman" w:hAnsi="Times New Roman" w:cs="Times New Roman"/>
          <w:b w:val="0"/>
          <w:bCs w:val="0"/>
        </w:rPr>
        <w:t xml:space="preserve">Решение об отмене закупки размещается Заказчиком в ЕИС в день принятия этого решения.</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 истечении срока отмены закупки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w:t>
      </w:r>
      <w:r>
        <w:rPr>
          <w:rFonts w:ascii="Times New Roman" w:hAnsi="Times New Roman" w:cs="Times New Roman"/>
          <w:b w:val="0"/>
          <w:bCs w:val="0"/>
        </w:rPr>
      </w:r>
    </w:p>
    <w:p>
      <w:pPr>
        <w:spacing w:after="120"/>
        <w:widowControl w:val="off"/>
      </w:pPr>
      <w:r/>
      <w:r/>
    </w:p>
    <w:p>
      <w:pPr>
        <w:pStyle w:val="1116"/>
        <w:numPr>
          <w:ilvl w:val="0"/>
          <w:numId w:val="1"/>
        </w:numPr>
        <w:ind w:left="0" w:firstLine="709"/>
        <w:jc w:val="both"/>
        <w:keepNext w:val="0"/>
        <w:spacing w:before="0" w:after="120"/>
        <w:widowControl w:val="off"/>
        <w:rPr>
          <w:sz w:val="24"/>
          <w:szCs w:val="24"/>
        </w:rPr>
      </w:pPr>
      <w:r/>
      <w:bookmarkStart w:id="95" w:name="_Ref166349406_Копия_1"/>
      <w:r/>
      <w:bookmarkStart w:id="96" w:name="_Ref166159542"/>
      <w:r/>
      <w:bookmarkStart w:id="97" w:name="_Ref166250138"/>
      <w:r/>
      <w:bookmarkStart w:id="98" w:name="_Ref166250141"/>
      <w:r/>
      <w:bookmarkStart w:id="99" w:name="_Toc166101208"/>
      <w:r/>
      <w:bookmarkStart w:id="100" w:name="_Toc123405467"/>
      <w:r/>
      <w:bookmarkStart w:id="101" w:name="_Ref166159546"/>
      <w:r/>
      <w:bookmarkStart w:id="102" w:name="_Toc126935831"/>
      <w:r/>
      <w:bookmarkStart w:id="103" w:name="_Toc132974746"/>
      <w:r/>
      <w:bookmarkStart w:id="104" w:name="_Toc224649966"/>
      <w:r/>
      <w:bookmarkStart w:id="105" w:name="_Toc236307197"/>
      <w:r/>
      <w:bookmarkEnd w:id="95"/>
      <w:r>
        <w:rPr>
          <w:sz w:val="24"/>
          <w:szCs w:val="24"/>
        </w:rPr>
        <w:t xml:space="preserve">ТРЕБОВАНИЯ К СОДЕРЖАНИЮ ЗАЯВКИ НА УЧАСТИЕ В </w:t>
      </w:r>
      <w:bookmarkEnd w:id="96"/>
      <w:r/>
      <w:bookmarkEnd w:id="97"/>
      <w:r/>
      <w:bookmarkEnd w:id="98"/>
      <w:r/>
      <w:bookmarkEnd w:id="99"/>
      <w:r/>
      <w:bookmarkEnd w:id="100"/>
      <w:r/>
      <w:bookmarkEnd w:id="101"/>
      <w:r>
        <w:rPr>
          <w:sz w:val="24"/>
          <w:szCs w:val="24"/>
        </w:rPr>
        <w:t xml:space="preserve">ЗАКУПКЕ</w:t>
      </w:r>
      <w:bookmarkEnd w:id="102"/>
      <w:r/>
      <w:bookmarkEnd w:id="103"/>
      <w:r/>
      <w:bookmarkEnd w:id="104"/>
      <w:r/>
      <w:bookmarkEnd w:id="105"/>
      <w:r/>
      <w:r>
        <w:rPr>
          <w:sz w:val="24"/>
          <w:szCs w:val="24"/>
        </w:rPr>
      </w:r>
    </w:p>
    <w:p>
      <w:pPr>
        <w:pStyle w:val="1117"/>
        <w:numPr>
          <w:ilvl w:val="1"/>
          <w:numId w:val="1"/>
        </w:numPr>
        <w:ind w:left="0" w:firstLine="709"/>
        <w:jc w:val="left"/>
        <w:keepNext w:val="0"/>
        <w:spacing w:after="120"/>
        <w:widowControl w:val="off"/>
        <w:rPr>
          <w:sz w:val="24"/>
          <w:szCs w:val="24"/>
        </w:rPr>
      </w:pPr>
      <w:r/>
      <w:bookmarkStart w:id="106" w:name="_Toc132974747"/>
      <w:r/>
      <w:bookmarkStart w:id="107" w:name="_Toc126935832"/>
      <w:r/>
      <w:bookmarkStart w:id="108" w:name="_Toc224649967"/>
      <w:r/>
      <w:bookmarkStart w:id="109" w:name="_Toc236307198"/>
      <w:r>
        <w:rPr>
          <w:sz w:val="24"/>
          <w:szCs w:val="24"/>
        </w:rPr>
        <w:t xml:space="preserve">Требования к оформлению заявки на участие в закупке</w:t>
      </w:r>
      <w:bookmarkEnd w:id="106"/>
      <w:r/>
      <w:bookmarkEnd w:id="107"/>
      <w:r/>
      <w:bookmarkEnd w:id="108"/>
      <w:r/>
      <w:bookmarkEnd w:id="109"/>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10" w:name="_Ref166246797"/>
      <w:r>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w:t>
      </w:r>
      <w:r>
        <w:rPr>
          <w:rFonts w:ascii="Times New Roman" w:hAnsi="Times New Roman" w:cs="Times New Roman"/>
          <w:b w:val="0"/>
          <w:bCs w:val="0"/>
        </w:rPr>
        <w:t xml:space="preserve">закупке, а также разъяснения извещения о закупке и/или документации о закупке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w:t>
      </w:r>
      <w:r>
        <w:rPr>
          <w:rFonts w:ascii="Times New Roman" w:hAnsi="Times New Roman" w:cs="Times New Roman"/>
          <w:b w:val="0"/>
          <w:bCs w:val="0"/>
        </w:rPr>
        <w:t xml:space="preserve">ции, запрашиваемой в документации о закупке, или же подача заявки, не отвечающей требованиям документации о закупке, является основанием для признания заявки не соответствующей требованиям документации о закупке и отклонения участника от участия в закупке.</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lang w:val="en-US"/>
        </w:rPr>
      </w:pPr>
      <w:r>
        <w:rPr>
          <w:rFonts w:ascii="Times New Roman" w:hAnsi="Times New Roman" w:cs="Times New Roman"/>
          <w:b w:val="0"/>
        </w:rPr>
        <w:t xml:space="preserve">Участник закупки готовит заявку на участие в закупке в соответствии с требованиями раздела 3 «ТРЕБОВАНИЯ К СОДЕРЖАНИЮ ЗАЯВКИ НА УЧАСТИЕ В ЗАКУПКЕ» части </w:t>
      </w:r>
      <w:r>
        <w:rPr>
          <w:rFonts w:ascii="Times New Roman" w:hAnsi="Times New Roman" w:cs="Times New Roman"/>
          <w:b w:val="0"/>
          <w:lang w:val="en-US"/>
        </w:rPr>
        <w:t xml:space="preserve">I</w:t>
      </w:r>
      <w:r>
        <w:rPr>
          <w:rFonts w:ascii="Times New Roman" w:hAnsi="Times New Roman" w:cs="Times New Roman"/>
          <w:b w:val="0"/>
        </w:rPr>
        <w:t xml:space="preserve"> «ОБЩИЕ УСЛОВИЯ ПРОВЕДЕНИЯ ЗАКУПКИ» и в соответствии с формами документов, установленными частью </w:t>
      </w:r>
      <w:r>
        <w:rPr>
          <w:rFonts w:ascii="Times New Roman" w:hAnsi="Times New Roman" w:cs="Times New Roman"/>
          <w:b w:val="0"/>
          <w:lang w:val="en-US"/>
        </w:rPr>
        <w:t xml:space="preserve">III</w:t>
      </w:r>
      <w:r>
        <w:rPr>
          <w:rFonts w:ascii="Times New Roman" w:hAnsi="Times New Roman" w:cs="Times New Roman"/>
          <w:b w:val="0"/>
        </w:rPr>
        <w:t xml:space="preserve"> «ОБРАЗЦЫ ФОРМ ДЛЯ ЗАПОЛНЕНИЯ УЧАСТНИКАМИ ЗАКУПКИ»</w:t>
      </w:r>
      <w:r>
        <w:rPr>
          <w:rFonts w:ascii="Times New Roman" w:hAnsi="Times New Roman" w:cs="Times New Roman"/>
          <w:b w:val="0"/>
          <w:bCs w:val="0"/>
        </w:rPr>
        <w:t xml:space="preserve">.</w:t>
      </w:r>
      <w:bookmarkEnd w:id="110"/>
      <w:r/>
      <w:r>
        <w:rPr>
          <w:rFonts w:ascii="Times New Roman" w:hAnsi="Times New Roman" w:cs="Times New Roman"/>
          <w:b w:val="0"/>
          <w:bCs w:val="0"/>
          <w:lang w:val="en-US"/>
        </w:rPr>
      </w:r>
    </w:p>
    <w:p>
      <w:pPr>
        <w:pStyle w:val="1118"/>
        <w:numPr>
          <w:ilvl w:val="2"/>
          <w:numId w:val="1"/>
        </w:numPr>
        <w:ind w:left="142"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Участник должен принять во внимание, что согласно ч. 19.5 ст. 3.4 223-ФЗ заявка участника состоит их двух частей и предложения участника закупки о цене договора (цене лота, единицы товара, работы, услуги), при этом:</w:t>
      </w:r>
      <w:r>
        <w:rPr>
          <w:rFonts w:ascii="Times New Roman" w:hAnsi="Times New Roman" w:cs="Times New Roman"/>
          <w:b w:val="0"/>
          <w:bCs w:val="0"/>
        </w:rPr>
      </w:r>
    </w:p>
    <w:p>
      <w:pPr>
        <w:pStyle w:val="1352"/>
        <w:numPr>
          <w:ilvl w:val="0"/>
          <w:numId w:val="18"/>
        </w:numPr>
        <w:ind w:left="1418" w:hanging="851"/>
        <w:jc w:val="both"/>
        <w:spacing w:after="120"/>
        <w:widowControl w:val="off"/>
      </w:pPr>
      <w:r>
        <w:t xml:space="preserve">первая часть заявки содержит предложение участника в отношении предмета конкурса в соответствии с требованиями части </w:t>
      </w:r>
      <w:r>
        <w:rPr>
          <w:lang w:val="en-US"/>
        </w:rPr>
        <w:t xml:space="preserve">V</w:t>
      </w:r>
      <w:r>
        <w:t xml:space="preserve"> документации о закупке, а также информацию и документы для осуществл</w:t>
      </w:r>
      <w:r>
        <w:t xml:space="preserve">ения оценки заявки в отношении критериев и порядка оценки и сопоставления заявок на участие в конкурсе,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w:t>
      </w:r>
      <w:r>
        <w:t xml:space="preserve"> таких критериев).  (СВЕДЕНИЯ О ЦЕНОВОМ ПРЕДЛОЖЕНИИ И УЧАСТНИКЕ В СОСТАВЕ ПЕРВОЙ ЧАСТИ ЗАЯВКИ НЕ УКАЗЫВАЮТСЯ)</w:t>
      </w:r>
      <w:r/>
    </w:p>
    <w:p>
      <w:pPr>
        <w:pStyle w:val="1352"/>
        <w:numPr>
          <w:ilvl w:val="0"/>
          <w:numId w:val="18"/>
        </w:numPr>
        <w:ind w:left="1418" w:hanging="851"/>
        <w:jc w:val="both"/>
        <w:spacing w:after="120"/>
        <w:widowControl w:val="off"/>
      </w:pPr>
      <w:r>
        <w:t xml:space="preserve">вторая часть заявки содержит сведения об участнике конкурса, информацию о его соответствии требованиям (если они установлены в Конкурсной </w:t>
      </w:r>
      <w:r>
        <w:t xml:space="preserve">до</w:t>
      </w:r>
      <w:r>
        <w:t xml:space="preserve">кументации), информацию и документы в отношении критериев и порядка оценки и сопоставления заявок на участие в конкурсе, применяемых к участникам закупки (в случае установления в документации о закупке таких критериев) в соответствии с требованиями частей </w:t>
      </w:r>
      <w:r>
        <w:rPr>
          <w:lang w:val="en-US"/>
        </w:rPr>
        <w:t xml:space="preserve">II</w:t>
      </w:r>
      <w:r>
        <w:t xml:space="preserve">- </w:t>
      </w:r>
      <w:r>
        <w:rPr>
          <w:lang w:val="en-US"/>
        </w:rPr>
        <w:t xml:space="preserve">IV</w:t>
      </w:r>
      <w:r>
        <w:t xml:space="preserve"> документации о закупке.</w:t>
      </w: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описании документов заявки участник </w:t>
      </w:r>
      <w:r>
        <w:rPr>
          <w:rFonts w:ascii="Times New Roman" w:hAnsi="Times New Roman" w:cs="Times New Roman"/>
          <w:b w:val="0"/>
        </w:rPr>
        <w:t xml:space="preserve">закупки </w:t>
      </w:r>
      <w:r>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Pr>
          <w:rFonts w:ascii="Times New Roman" w:hAnsi="Times New Roman" w:cs="Times New Roman"/>
          <w:b w:val="0"/>
          <w:bCs w:val="0"/>
          <w:lang w:val="en-US"/>
        </w:rPr>
        <w:t xml:space="preserve">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w:t>
      </w:r>
      <w:r>
        <w:rPr>
          <w:rFonts w:ascii="Times New Roman" w:hAnsi="Times New Roman" w:cs="Times New Roman"/>
          <w:b w:val="0"/>
          <w:bCs w:val="0"/>
        </w:rPr>
        <w:t xml:space="preserve">.</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Сведения, которые содержатся в заявках участников закупки, в том числе сведения, указываемые участником на электронной площадке с использованием ее функционала и электронными документами (электронными образами документов), размещаемыми участником </w:t>
      </w:r>
      <w:r>
        <w:rPr>
          <w:rFonts w:ascii="Times New Roman" w:hAnsi="Times New Roman" w:cs="Times New Roman"/>
          <w:b w:val="0"/>
          <w:bCs w:val="0"/>
        </w:rPr>
        <w:t xml:space="preserve">в составе заявки, не должны содержать расхождений, допускающих двусмысленное толкование содержания предложения участника, в том числе в части предмета закупки, цены предложения (включая стоимость каждой единицы продукции и/или отдельные стоимостные позиции</w:t>
      </w:r>
      <w:r>
        <w:rPr>
          <w:rFonts w:ascii="Times New Roman" w:hAnsi="Times New Roman" w:cs="Times New Roman"/>
          <w:b w:val="0"/>
          <w:bCs w:val="0"/>
        </w:rPr>
        <w:t xml:space="preserve"> работ, этапов работ и т.п., составляющих общую стоимость заявки, размера и сроков выплаты аванса), сроков поставки/выполнения работ. При наличии в заявке указанных расхождений, закупочная комиссия принимает решение об отклонении заявки.</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Все документы, представляемые участниками </w:t>
      </w:r>
      <w:r>
        <w:rPr>
          <w:rFonts w:ascii="Times New Roman" w:hAnsi="Times New Roman" w:cs="Times New Roman"/>
          <w:b w:val="0"/>
        </w:rPr>
        <w:t xml:space="preserve">закупки </w:t>
      </w:r>
      <w:r>
        <w:rPr>
          <w:rFonts w:ascii="Times New Roman" w:hAnsi="Times New Roman" w:cs="Times New Roman"/>
          <w:b w:val="0"/>
          <w:bCs w:val="0"/>
        </w:rPr>
        <w:t xml:space="preserve">в составе заявки на участие в закупке, должны быть заполнены по всем пунктам, за исключением пунктов, носящих рекомендательный характер.</w:t>
      </w:r>
      <w:bookmarkStart w:id="111" w:name="_Ref166313158"/>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Заказчик обеспечивает разумную конфиденциальность относительно всех полученных от участников закупк</w:t>
      </w:r>
      <w:r>
        <w:rPr>
          <w:rFonts w:ascii="Times New Roman" w:hAnsi="Times New Roman" w:cs="Times New Roman"/>
          <w:b w:val="0"/>
          <w:bCs w:val="0"/>
        </w:rPr>
        <w:t xml:space="preserve">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r>
        <w:rPr>
          <w:rFonts w:ascii="Times New Roman" w:hAnsi="Times New Roman" w:cs="Times New Roman"/>
          <w:b w:val="0"/>
          <w:bCs w:val="0"/>
        </w:rPr>
      </w:r>
    </w:p>
    <w:p>
      <w:pPr>
        <w:pStyle w:val="1117"/>
        <w:numPr>
          <w:ilvl w:val="1"/>
          <w:numId w:val="1"/>
        </w:numPr>
        <w:ind w:left="0" w:firstLine="709"/>
        <w:jc w:val="left"/>
        <w:keepNext w:val="0"/>
        <w:spacing w:after="120"/>
        <w:widowControl w:val="off"/>
        <w:rPr>
          <w:sz w:val="24"/>
          <w:szCs w:val="24"/>
        </w:rPr>
      </w:pPr>
      <w:r/>
      <w:bookmarkStart w:id="112" w:name="_Toc387652312"/>
      <w:r/>
      <w:bookmarkStart w:id="113" w:name="_Toc123405469"/>
      <w:r/>
      <w:bookmarkStart w:id="114" w:name="_Toc132974748"/>
      <w:r/>
      <w:bookmarkStart w:id="115" w:name="_Toc126935833"/>
      <w:r/>
      <w:bookmarkStart w:id="116" w:name="_Toc224649968"/>
      <w:r/>
      <w:bookmarkStart w:id="117" w:name="_Toc236307199"/>
      <w:r/>
      <w:bookmarkEnd w:id="111"/>
      <w:r>
        <w:rPr>
          <w:sz w:val="24"/>
          <w:szCs w:val="24"/>
        </w:rPr>
        <w:t xml:space="preserve">Язык документов, входящих в состав заявки на участие в </w:t>
      </w:r>
      <w:bookmarkEnd w:id="112"/>
      <w:r/>
      <w:bookmarkEnd w:id="113"/>
      <w:r>
        <w:rPr>
          <w:sz w:val="24"/>
          <w:szCs w:val="24"/>
        </w:rPr>
        <w:t xml:space="preserve">закупке</w:t>
      </w:r>
      <w:bookmarkEnd w:id="114"/>
      <w:r/>
      <w:bookmarkEnd w:id="115"/>
      <w:r/>
      <w:bookmarkEnd w:id="116"/>
      <w:r/>
      <w:bookmarkEnd w:id="117"/>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Заявка на участие в закупке должна быть подготовлена на русском языке за исключением нижеследующего. </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r>
        <w:rPr>
          <w:rFonts w:ascii="Times New Roman" w:hAnsi="Times New Roman" w:cs="Times New Roman"/>
          <w:b w:val="0"/>
          <w:bCs w:val="0"/>
        </w:rPr>
        <w:t xml:space="preserve">апостилированный</w:t>
      </w:r>
      <w:r>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Заказчик будет принимать решение на основании перевода.</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18" w:name="_Toc518119272"/>
      <w:r>
        <w:rPr>
          <w:rFonts w:ascii="Times New Roman" w:hAnsi="Times New Roman" w:cs="Times New Roman"/>
          <w:b w:val="0"/>
        </w:rPr>
        <w:t xml:space="preserve">Закупочная комиссия не рассматривает документы, не переведенные на русский язык</w:t>
      </w:r>
      <w:r>
        <w:rPr>
          <w:rFonts w:ascii="Times New Roman" w:hAnsi="Times New Roman" w:cs="Times New Roman"/>
          <w:b w:val="0"/>
          <w:bCs w:val="0"/>
        </w:rPr>
        <w:t xml:space="preserve">. </w:t>
      </w:r>
      <w:bookmarkEnd w:id="118"/>
      <w:r/>
      <w:r>
        <w:rPr>
          <w:rFonts w:ascii="Times New Roman" w:hAnsi="Times New Roman" w:cs="Times New Roman"/>
          <w:b w:val="0"/>
          <w:bCs w:val="0"/>
        </w:rPr>
      </w:r>
    </w:p>
    <w:p>
      <w:pPr>
        <w:pStyle w:val="1117"/>
        <w:numPr>
          <w:ilvl w:val="1"/>
          <w:numId w:val="1"/>
        </w:numPr>
        <w:ind w:left="0" w:firstLine="709"/>
        <w:jc w:val="both"/>
        <w:keepNext w:val="0"/>
        <w:spacing w:after="120"/>
        <w:widowControl w:val="off"/>
        <w:rPr>
          <w:sz w:val="24"/>
          <w:szCs w:val="24"/>
        </w:rPr>
      </w:pPr>
      <w:r/>
      <w:bookmarkStart w:id="119" w:name="_Toc132974749"/>
      <w:r/>
      <w:bookmarkStart w:id="120" w:name="_Toc126935834"/>
      <w:r/>
      <w:bookmarkStart w:id="121" w:name="_Toc224649969"/>
      <w:r/>
      <w:bookmarkStart w:id="122" w:name="_Toc236307200"/>
      <w:r>
        <w:rPr>
          <w:sz w:val="24"/>
          <w:szCs w:val="24"/>
        </w:rPr>
        <w:t xml:space="preserve">Требования к валюте заявки</w:t>
      </w:r>
      <w:bookmarkEnd w:id="119"/>
      <w:r/>
      <w:bookmarkEnd w:id="120"/>
      <w:r/>
      <w:bookmarkEnd w:id="121"/>
      <w:r/>
      <w:bookmarkEnd w:id="122"/>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23" w:name="_Hlt517806775"/>
      <w:r/>
      <w:bookmarkStart w:id="124" w:name="_Ref52534291"/>
      <w:r/>
      <w:bookmarkEnd w:id="123"/>
      <w:r>
        <w:rPr>
          <w:rFonts w:ascii="Times New Roman" w:hAnsi="Times New Roman" w:cs="Times New Roman"/>
          <w:b w:val="0"/>
        </w:rPr>
        <w:t xml:space="preserve">Все суммы денежных сре</w:t>
      </w:r>
      <w:r>
        <w:rPr>
          <w:rFonts w:ascii="Times New Roman" w:hAnsi="Times New Roman" w:cs="Times New Roman"/>
          <w:b w:val="0"/>
        </w:rPr>
        <w:t xml:space="preserve">дств в д</w:t>
      </w:r>
      <w:r>
        <w:rPr>
          <w:rFonts w:ascii="Times New Roman" w:hAnsi="Times New Roman" w:cs="Times New Roman"/>
          <w:b w:val="0"/>
        </w:rPr>
        <w:t xml:space="preserve">окументах, входящих в заявку участника, должны быть выражены в российских рублях (если иное не установлено в документации о закупке) за исключением нижеследующего</w:t>
      </w:r>
      <w:r>
        <w:rPr>
          <w:rFonts w:ascii="Times New Roman" w:hAnsi="Times New Roman" w:cs="Times New Roman"/>
          <w:b w:val="0"/>
          <w:bCs w:val="0"/>
        </w:rPr>
        <w:t xml:space="preserve">.</w:t>
      </w:r>
      <w:bookmarkEnd w:id="124"/>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25" w:name="_Toc518119275"/>
      <w:r>
        <w:rPr>
          <w:rFonts w:ascii="Times New Roman" w:hAnsi="Times New Roman" w:cs="Times New Roman"/>
          <w:b w:val="0"/>
        </w:rPr>
        <w:t xml:space="preserve">Документы, оригиналы которых выданы участнику закупки третьими </w:t>
      </w:r>
      <w:r>
        <w:rPr>
          <w:rFonts w:ascii="Times New Roman" w:hAnsi="Times New Roman" w:cs="Times New Roman"/>
          <w:b w:val="0"/>
        </w:rPr>
        <w:t xml:space="preserve">лицами с выражением сумм денежных средств в иных валютах, могут быть представлены в валюте о</w:t>
      </w:r>
      <w:r>
        <w:rPr>
          <w:rFonts w:ascii="Times New Roman" w:hAnsi="Times New Roman" w:cs="Times New Roman"/>
          <w:b w:val="0"/>
        </w:rPr>
        <w:t xml:space="preserve">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Pr>
          <w:rFonts w:ascii="Times New Roman" w:hAnsi="Times New Roman" w:cs="Times New Roman"/>
          <w:b w:val="0"/>
          <w:bCs w:val="0"/>
        </w:rPr>
        <w:t xml:space="preserve">.</w:t>
      </w:r>
      <w:bookmarkEnd w:id="125"/>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rPr>
        <w:t xml:space="preserve">Цена Заявки фиксируется в российских рублях (если иное не установлено в документации о закупке) и не подлежит изменению при изменении официального курса валюты</w:t>
      </w:r>
      <w:r>
        <w:rPr>
          <w:rFonts w:ascii="Times New Roman" w:hAnsi="Times New Roman" w:cs="Times New Roman"/>
          <w:b w:val="0"/>
          <w:bCs w:val="0"/>
        </w:rPr>
        <w:t xml:space="preserve">.</w:t>
      </w:r>
      <w:r>
        <w:rPr>
          <w:rFonts w:ascii="Times New Roman" w:hAnsi="Times New Roman" w:cs="Times New Roman"/>
          <w:b w:val="0"/>
          <w:bCs w:val="0"/>
        </w:rPr>
      </w:r>
    </w:p>
    <w:p>
      <w:pPr>
        <w:pStyle w:val="1117"/>
        <w:numPr>
          <w:ilvl w:val="1"/>
          <w:numId w:val="1"/>
        </w:numPr>
        <w:ind w:left="0" w:firstLine="709"/>
        <w:jc w:val="both"/>
        <w:keepNext w:val="0"/>
        <w:spacing w:after="120"/>
        <w:widowControl w:val="off"/>
        <w:rPr>
          <w:sz w:val="24"/>
          <w:szCs w:val="24"/>
        </w:rPr>
      </w:pPr>
      <w:r/>
      <w:bookmarkStart w:id="126" w:name="_Toc132974750"/>
      <w:r/>
      <w:bookmarkStart w:id="127" w:name="_Toc123405470"/>
      <w:r/>
      <w:bookmarkStart w:id="128" w:name="_Ref119430333"/>
      <w:r/>
      <w:bookmarkStart w:id="129" w:name="_Ref119429817"/>
      <w:r/>
      <w:bookmarkStart w:id="130" w:name="_Ref119429784"/>
      <w:r/>
      <w:bookmarkStart w:id="131" w:name="_Toc126935835"/>
      <w:r/>
      <w:bookmarkStart w:id="132" w:name="_Toc224649970"/>
      <w:r/>
      <w:bookmarkStart w:id="133" w:name="_Toc236307201"/>
      <w:r>
        <w:rPr>
          <w:sz w:val="24"/>
          <w:szCs w:val="24"/>
        </w:rPr>
        <w:t xml:space="preserve">Требования к составу заявки на участие в закупке</w:t>
      </w:r>
      <w:bookmarkEnd w:id="126"/>
      <w:r/>
      <w:bookmarkEnd w:id="127"/>
      <w:r/>
      <w:bookmarkEnd w:id="128"/>
      <w:r/>
      <w:bookmarkEnd w:id="129"/>
      <w:r/>
      <w:bookmarkEnd w:id="130"/>
      <w:r/>
      <w:bookmarkEnd w:id="131"/>
      <w:r/>
      <w:bookmarkEnd w:id="132"/>
      <w:r/>
      <w:bookmarkEnd w:id="133"/>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34" w:name="_Ref166243143"/>
      <w:r>
        <w:rPr>
          <w:rFonts w:ascii="Times New Roman" w:hAnsi="Times New Roman" w:cs="Times New Roman"/>
          <w:b w:val="0"/>
          <w:bCs w:val="0"/>
        </w:rPr>
        <w:t xml:space="preserve">Заявка участника на участие в закупке должна содержать информацию и документы, указанные в </w:t>
      </w:r>
      <w:r>
        <w:rPr>
          <w:rFonts w:ascii="Times New Roman" w:hAnsi="Times New Roman" w:cs="Times New Roman"/>
          <w:b w:val="0"/>
        </w:rPr>
        <w:t xml:space="preserve">пунктах 10, 12 части II «ИНФОРМАЦИОННАЯ КАРТА </w:t>
      </w:r>
      <w:r>
        <w:rPr>
          <w:rFonts w:ascii="Times New Roman" w:hAnsi="Times New Roman" w:cs="Times New Roman"/>
          <w:b w:val="0"/>
          <w:bCs w:val="0"/>
        </w:rPr>
        <w:t xml:space="preserve">ЗАКУПКИ</w:t>
      </w:r>
      <w:r>
        <w:rPr>
          <w:rFonts w:ascii="Times New Roman" w:hAnsi="Times New Roman" w:cs="Times New Roman"/>
          <w:b w:val="0"/>
        </w:rPr>
        <w:t xml:space="preserve">»</w:t>
      </w:r>
      <w:r>
        <w:rPr>
          <w:rFonts w:ascii="Times New Roman" w:hAnsi="Times New Roman" w:cs="Times New Roman"/>
          <w:b w:val="0"/>
          <w:bCs w:val="0"/>
        </w:rPr>
        <w:t xml:space="preserve">:</w:t>
      </w:r>
      <w:bookmarkEnd w:id="134"/>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35" w:name="_Ref166316209"/>
      <w:r>
        <w:rPr>
          <w:rFonts w:ascii="Times New Roman" w:hAnsi="Times New Roman" w:cs="Times New Roman"/>
          <w:b w:val="0"/>
          <w:bCs w:val="0"/>
        </w:rPr>
        <w:t xml:space="preserve">В случае неполного представления информации и документов, перечисленных в пунктах </w:t>
      </w:r>
      <w:r>
        <w:rPr>
          <w:rFonts w:ascii="Times New Roman" w:hAnsi="Times New Roman" w:cs="Times New Roman"/>
          <w:b w:val="0"/>
        </w:rPr>
        <w:t xml:space="preserve">10, 12 </w:t>
      </w:r>
      <w:r>
        <w:rPr>
          <w:rFonts w:ascii="Times New Roman" w:hAnsi="Times New Roman" w:cs="Times New Roman"/>
          <w:b w:val="0"/>
          <w:bCs w:val="0"/>
        </w:rPr>
        <w:t xml:space="preserve">части II «ИНФОРМАЦИОННАЯ КАРТА ЗАКУПКИ» Закупочная комиссия отклоняет заявку, поданную на участие в закупке.</w:t>
      </w:r>
      <w:bookmarkEnd w:id="135"/>
      <w:r/>
      <w:r>
        <w:rPr>
          <w:rFonts w:ascii="Times New Roman" w:hAnsi="Times New Roman" w:cs="Times New Roman"/>
          <w:b w:val="0"/>
          <w:bCs w:val="0"/>
        </w:rPr>
      </w:r>
    </w:p>
    <w:p>
      <w:pPr>
        <w:pStyle w:val="1117"/>
        <w:numPr>
          <w:ilvl w:val="1"/>
          <w:numId w:val="1"/>
        </w:numPr>
        <w:ind w:left="0" w:firstLine="709"/>
        <w:jc w:val="both"/>
        <w:keepNext w:val="0"/>
        <w:spacing w:after="120"/>
        <w:widowControl w:val="off"/>
        <w:rPr>
          <w:sz w:val="24"/>
          <w:szCs w:val="24"/>
        </w:rPr>
      </w:pPr>
      <w:r/>
      <w:bookmarkStart w:id="136" w:name="_Toc286523204"/>
      <w:r/>
      <w:bookmarkStart w:id="137" w:name="_Toc123405471"/>
      <w:r/>
      <w:bookmarkStart w:id="138" w:name="_Toc123405472"/>
      <w:r/>
      <w:bookmarkStart w:id="139" w:name="_Toc132974751"/>
      <w:r/>
      <w:bookmarkStart w:id="140" w:name="_Toc126935836"/>
      <w:r/>
      <w:bookmarkStart w:id="141" w:name="_Toc224649971"/>
      <w:r/>
      <w:bookmarkStart w:id="142" w:name="_Toc236307202"/>
      <w:r/>
      <w:bookmarkEnd w:id="136"/>
      <w:r/>
      <w:bookmarkEnd w:id="137"/>
      <w:r>
        <w:rPr>
          <w:sz w:val="24"/>
          <w:szCs w:val="24"/>
        </w:rPr>
        <w:t xml:space="preserve">Требования к описанию </w:t>
      </w:r>
      <w:bookmarkEnd w:id="138"/>
      <w:r>
        <w:rPr>
          <w:sz w:val="24"/>
          <w:szCs w:val="24"/>
        </w:rPr>
        <w:t xml:space="preserve">предложения участника закупки</w:t>
      </w:r>
      <w:bookmarkEnd w:id="139"/>
      <w:r/>
      <w:bookmarkEnd w:id="140"/>
      <w:r/>
      <w:bookmarkEnd w:id="141"/>
      <w:r/>
      <w:bookmarkEnd w:id="142"/>
      <w:r/>
      <w:r>
        <w:rPr>
          <w:sz w:val="24"/>
          <w:szCs w:val="24"/>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43" w:name="_Ref11560130"/>
      <w:r/>
      <w:bookmarkStart w:id="144" w:name="_Toc286523204_Копия_1"/>
      <w:r/>
      <w:bookmarkStart w:id="145" w:name="_Toc123405471_Копия_1"/>
      <w:r/>
      <w:bookmarkStart w:id="146" w:name="_Ref166314630"/>
      <w:r/>
      <w:bookmarkEnd w:id="143"/>
      <w:r/>
      <w:bookmarkEnd w:id="144"/>
      <w:r/>
      <w:bookmarkEnd w:id="145"/>
      <w:r>
        <w:rPr>
          <w:rFonts w:ascii="Times New Roman" w:hAnsi="Times New Roman" w:cs="Times New Roman"/>
          <w:b w:val="0"/>
          <w:bCs w:val="0"/>
        </w:rPr>
        <w:t xml:space="preserve">Цена договора, предлагаемая участником закупки, не может превышать начальную (максимальную) цену договора, указанную в извещении закупке и в пункте 5 части II «ИНФОРМАЦИОННАЯ КАРТА ЗАКУПКИ»</w:t>
      </w:r>
      <w:bookmarkEnd w:id="146"/>
      <w:r>
        <w:rPr>
          <w:rFonts w:ascii="Times New Roman" w:hAnsi="Times New Roman" w:cs="Times New Roman"/>
          <w:b w:val="0"/>
          <w:bCs w:val="0"/>
        </w:rPr>
        <w:t xml:space="preserve">.</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bookmarkStart w:id="147" w:name="_Ref126085783"/>
      <w:r>
        <w:rPr>
          <w:rFonts w:ascii="Times New Roman" w:hAnsi="Times New Roman" w:cs="Times New Roman"/>
          <w:b w:val="0"/>
          <w:bCs w:val="0"/>
        </w:rPr>
        <w:t xml:space="preserve">В случае установления в документации о закупке в составе  начальной (максимальной) цены договора (НМЦ договора) максимальной стоимости единицы продукции (единичных расценок), либо указания в составе НМЦ договора предельных знач</w:t>
      </w:r>
      <w:r>
        <w:rPr>
          <w:rFonts w:ascii="Times New Roman" w:hAnsi="Times New Roman" w:cs="Times New Roman"/>
          <w:b w:val="0"/>
          <w:bCs w:val="0"/>
        </w:rPr>
        <w:t xml:space="preserve">ений отдельных стоимостных позиций (например, указания отдельно стоимости поставки оборудования и стоимости его монтажа, видов/этапов работ, установления стоимостей отдельных договоров, если по результатам закупки будет заключено несколько договоров, и т.п</w:t>
      </w:r>
      <w:r>
        <w:rPr>
          <w:rFonts w:ascii="Times New Roman" w:hAnsi="Times New Roman" w:cs="Times New Roman"/>
          <w:b w:val="0"/>
          <w:bCs w:val="0"/>
        </w:rPr>
        <w:t xml:space="preserve">.) стоимость предложения участника не должна превышать установленные единичные расценки и/или предельные значения отдельных стоимостных позиций, если иное не установлено документацией о закупке.</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Цена договора должна включать </w:t>
      </w:r>
      <w:r>
        <w:rPr>
          <w:rFonts w:ascii="Times New Roman" w:hAnsi="Times New Roman" w:eastAsia="Calibri" w:cs="Times New Roman"/>
          <w:b w:val="0"/>
        </w:rPr>
        <w:t xml:space="preserve">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Pr>
          <w:rFonts w:ascii="Times New Roman" w:hAnsi="Times New Roman" w:cs="Times New Roman"/>
          <w:b w:val="0"/>
          <w:bCs w:val="0"/>
        </w:rPr>
        <w:t xml:space="preserve">, если иное не установлено документацией о закупке.</w:t>
      </w:r>
      <w:bookmarkStart w:id="148" w:name="_Toc354408413"/>
      <w:r/>
      <w:bookmarkEnd w:id="147"/>
      <w:r>
        <w:rPr>
          <w:rFonts w:ascii="Times New Roman" w:hAnsi="Times New Roman" w:cs="Times New Roman"/>
          <w:b w:val="0"/>
          <w:bCs w:val="0"/>
        </w:rPr>
        <w:t xml:space="preserve"> </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rPr>
      </w:pPr>
      <w:r>
        <w:rPr>
          <w:rFonts w:ascii="Times New Roman" w:hAnsi="Times New Roman" w:cs="Times New Roman"/>
          <w:b w:val="0"/>
          <w:bCs w:val="0"/>
        </w:rPr>
        <w:t xml:space="preserve">Описание участниками закупки поставляемого товара, который является предметом закупки, его функциональных характеристик (потребительских свойс</w:t>
      </w:r>
      <w:r>
        <w:rPr>
          <w:rFonts w:ascii="Times New Roman" w:hAnsi="Times New Roman" w:cs="Times New Roman"/>
          <w:b w:val="0"/>
          <w:bCs w:val="0"/>
        </w:rPr>
        <w:t xml:space="preserve">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части </w:t>
      </w:r>
      <w:r>
        <w:rPr>
          <w:rFonts w:ascii="Times New Roman" w:hAnsi="Times New Roman" w:cs="Times New Roman"/>
          <w:b w:val="0"/>
          <w:bCs w:val="0"/>
          <w:lang w:val="en-US"/>
        </w:rPr>
        <w:t xml:space="preserve">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 </w:t>
      </w:r>
      <w:r>
        <w:rPr>
          <w:rFonts w:ascii="Times New Roman" w:hAnsi="Times New Roman" w:cs="Times New Roman"/>
          <w:b w:val="0"/>
          <w:bCs w:val="0"/>
        </w:rPr>
        <w:t xml:space="preserve">по формам, установленным в части </w:t>
      </w:r>
      <w:r>
        <w:rPr>
          <w:rFonts w:ascii="Times New Roman" w:hAnsi="Times New Roman" w:cs="Times New Roman"/>
          <w:b w:val="0"/>
          <w:bCs w:val="0"/>
          <w:lang w:val="en-US"/>
        </w:rPr>
        <w:t xml:space="preserve">III</w:t>
      </w:r>
      <w:r>
        <w:rPr>
          <w:rFonts w:ascii="Times New Roman" w:hAnsi="Times New Roman" w:cs="Times New Roman"/>
          <w:b w:val="0"/>
          <w:bCs w:val="0"/>
        </w:rPr>
        <w:t xml:space="preserve"> «ОБРАЗЦЫ ФОРМ ДЛЯ ЗАПОЛНЕНИЯ УЧАСТНИКАМИ ЗАКУПКИ»</w:t>
      </w:r>
      <w:r>
        <w:rPr>
          <w:rFonts w:ascii="Times New Roman" w:hAnsi="Times New Roman" w:cs="Times New Roman"/>
          <w:b w:val="0"/>
        </w:rPr>
        <w:t xml:space="preserve">.</w:t>
      </w:r>
      <w:r>
        <w:rPr>
          <w:rFonts w:ascii="Times New Roman" w:hAnsi="Times New Roman" w:cs="Times New Roman"/>
          <w:b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конкретную марку продукции, производителя, носят лишь рекомендательный, а не обязат</w:t>
      </w:r>
      <w:r>
        <w:rPr>
          <w:rFonts w:ascii="Times New Roman" w:hAnsi="Times New Roman" w:cs="Times New Roman"/>
          <w:b w:val="0"/>
          <w:bCs w:val="0"/>
        </w:rPr>
        <w:t xml:space="preserve">ельный характер. Участник закупки может представить в своей заявке иные марки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части </w:t>
      </w:r>
      <w:r>
        <w:rPr>
          <w:rFonts w:ascii="Times New Roman" w:hAnsi="Times New Roman" w:cs="Times New Roman"/>
          <w:b w:val="0"/>
          <w:bCs w:val="0"/>
          <w:lang w:val="en-US"/>
        </w:rPr>
        <w:t xml:space="preserve">V</w:t>
      </w:r>
      <w:r>
        <w:rPr>
          <w:rFonts w:ascii="Times New Roman" w:hAnsi="Times New Roman" w:cs="Times New Roman"/>
          <w:b w:val="0"/>
          <w:bCs w:val="0"/>
        </w:rPr>
        <w:t xml:space="preserve"> </w:t>
      </w:r>
      <w:r>
        <w:rPr>
          <w:rFonts w:ascii="Times New Roman" w:hAnsi="Times New Roman" w:cs="Times New Roman"/>
          <w:b w:val="0"/>
        </w:rPr>
        <w:t xml:space="preserve">«ТЕХНИЧЕСКАЯ ЧАСТЬ»</w:t>
      </w:r>
      <w:r>
        <w:rPr>
          <w:rFonts w:ascii="Times New Roman" w:hAnsi="Times New Roman" w:cs="Times New Roman"/>
          <w:b w:val="0"/>
          <w:bCs w:val="0"/>
        </w:rPr>
        <w:t xml:space="preserve">.</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rPr>
        <w:t xml:space="preserve">При описании продукции участник закупки обязан подтвердить </w:t>
      </w:r>
      <w:r>
        <w:rPr>
          <w:rFonts w:ascii="Times New Roman" w:hAnsi="Times New Roman" w:cs="Times New Roman"/>
          <w:b w:val="0"/>
        </w:rPr>
        <w:t xml:space="preserve">соответствие поставляемой продукции требованиям документации о закупке в отношении всех показателей, которые в ней установлены. При наличии в Технической части требований обеспечения совместимости предлагаемого к поставке оборудо</w:t>
      </w:r>
      <w:r>
        <w:rPr>
          <w:rFonts w:ascii="Times New Roman" w:hAnsi="Times New Roman" w:cs="Times New Roman"/>
          <w:b w:val="0"/>
        </w:rPr>
        <w:t xml:space="preserve">вания и необходимости взаимодействия с оборудованием, используемого заказчиком, в Предложении участника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Pr>
          <w:rFonts w:ascii="Times New Roman" w:hAnsi="Times New Roman" w:cs="Times New Roman"/>
          <w:b w:val="0"/>
          <w:bCs w:val="0"/>
        </w:rPr>
        <w:t xml:space="preserve">.</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участником закупки должны указываться точные, к</w:t>
      </w:r>
      <w:r>
        <w:rPr>
          <w:rFonts w:ascii="Times New Roman" w:hAnsi="Times New Roman" w:cs="Times New Roman"/>
          <w:b w:val="0"/>
          <w:bCs w:val="0"/>
        </w:rPr>
        <w:t xml:space="preserve">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V «ТЕХНИЧЕСКАЯ ЧАСТЬ».</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если в части V «ТЕХНИЧЕСКАЯ ЧАСТЬ» указаны товарные знаки, знаки обслуживания, патенты, полезные модели, промышленные образцы, наименования мест происхождени</w:t>
      </w:r>
      <w:r>
        <w:rPr>
          <w:rFonts w:ascii="Times New Roman" w:hAnsi="Times New Roman" w:cs="Times New Roman"/>
          <w:b w:val="0"/>
          <w:bCs w:val="0"/>
        </w:rPr>
        <w:t xml:space="preserve">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r>
        <w:rPr>
          <w:rFonts w:ascii="Times New Roman" w:hAnsi="Times New Roman" w:cs="Times New Roman"/>
          <w:b w:val="0"/>
          <w:bCs w:val="0"/>
        </w:rPr>
      </w:r>
    </w:p>
    <w:p>
      <w:pPr>
        <w:pStyle w:val="1118"/>
        <w:numPr>
          <w:ilvl w:val="2"/>
          <w:numId w:val="1"/>
        </w:numPr>
        <w:ind w:left="142"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r>
        <w:rPr>
          <w:rFonts w:ascii="Times New Roman" w:hAnsi="Times New Roman" w:cs="Times New Roman"/>
          <w:b w:val="0"/>
          <w:bCs w:val="0"/>
        </w:rPr>
      </w:r>
    </w:p>
    <w:p>
      <w:pPr>
        <w:pStyle w:val="1117"/>
        <w:numPr>
          <w:ilvl w:val="1"/>
          <w:numId w:val="1"/>
        </w:numPr>
        <w:ind w:left="0" w:firstLine="567"/>
        <w:jc w:val="both"/>
        <w:keepNext w:val="0"/>
        <w:spacing w:after="120"/>
        <w:widowControl w:val="off"/>
        <w:rPr>
          <w:sz w:val="24"/>
          <w:szCs w:val="24"/>
        </w:rPr>
      </w:pPr>
      <w:r/>
      <w:bookmarkStart w:id="149" w:name="_Ref11560130_Копия_1"/>
      <w:r/>
      <w:bookmarkStart w:id="150" w:name="_Toc126935837"/>
      <w:r/>
      <w:bookmarkStart w:id="151" w:name="_Toc123405479"/>
      <w:r/>
      <w:bookmarkStart w:id="152" w:name="_Toc38554189"/>
      <w:r/>
      <w:bookmarkStart w:id="153" w:name="_Toc132974752"/>
      <w:r/>
      <w:bookmarkStart w:id="154" w:name="_Ref119429503"/>
      <w:r/>
      <w:bookmarkStart w:id="155" w:name="_Toc224649972"/>
      <w:r/>
      <w:bookmarkStart w:id="156" w:name="_Toc236307203"/>
      <w:r/>
      <w:bookmarkEnd w:id="148"/>
      <w:r/>
      <w:bookmarkEnd w:id="149"/>
      <w:r>
        <w:rPr>
          <w:sz w:val="24"/>
          <w:szCs w:val="24"/>
        </w:rPr>
        <w:t xml:space="preserve">Требования к обеспечению заявок на участие в закупке</w:t>
      </w:r>
      <w:bookmarkEnd w:id="150"/>
      <w:r/>
      <w:bookmarkEnd w:id="151"/>
      <w:r/>
      <w:bookmarkEnd w:id="152"/>
      <w:r/>
      <w:bookmarkEnd w:id="153"/>
      <w:r/>
      <w:bookmarkEnd w:id="154"/>
      <w:r/>
      <w:bookmarkEnd w:id="155"/>
      <w:r/>
      <w:bookmarkEnd w:id="156"/>
      <w:r/>
      <w:r>
        <w:rPr>
          <w:sz w:val="24"/>
          <w:szCs w:val="24"/>
        </w:rPr>
      </w:r>
    </w:p>
    <w:p>
      <w:pPr>
        <w:pStyle w:val="1118"/>
        <w:numPr>
          <w:ilvl w:val="2"/>
          <w:numId w:val="15"/>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w:t>
      </w:r>
      <w:r>
        <w:rPr>
          <w:rFonts w:ascii="Times New Roman" w:hAnsi="Times New Roman" w:cs="Times New Roman"/>
          <w:b w:val="0"/>
          <w:bCs w:val="0"/>
        </w:rPr>
        <w:t xml:space="preserve">с НДС Заказчик вправе установить в документации о закупке требование к обеспечению заявок на участие в закупке в размере не более 2 (двух) процентов от начальной (максимальной) цены договора с НДС. В случае если размер начальной (максимальной) цены договор</w:t>
      </w:r>
      <w:r>
        <w:rPr>
          <w:rFonts w:ascii="Times New Roman" w:hAnsi="Times New Roman" w:cs="Times New Roman"/>
          <w:b w:val="0"/>
          <w:bCs w:val="0"/>
        </w:rPr>
        <w:t xml:space="preserve">а превышает 1 (один) миллиард рублей с НДС, обеспечение заявок на участие в такой закупке не может превышать 0,5 (ноль целых пять десятых) процента начальной (максимальной) цены договора с НДС. Обеспечение заявки может быть представлено в виде внесения ден</w:t>
      </w:r>
      <w:r>
        <w:rPr>
          <w:rFonts w:ascii="Times New Roman" w:hAnsi="Times New Roman" w:cs="Times New Roman"/>
          <w:b w:val="0"/>
          <w:bCs w:val="0"/>
        </w:rPr>
        <w:t xml:space="preserve">ежных средств или в виде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r>
        <w:rPr>
          <w:rFonts w:ascii="Times New Roman" w:hAnsi="Times New Roman" w:cs="Times New Roman"/>
          <w:b w:val="0"/>
          <w:bCs w:val="0"/>
        </w:rPr>
      </w:r>
    </w:p>
    <w:p>
      <w:pPr>
        <w:pStyle w:val="1118"/>
        <w:numPr>
          <w:ilvl w:val="2"/>
          <w:numId w:val="15"/>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Информация об установлении требования о предоставлении обеспечения и размер такого обеспечения указывается в пункте 14 части II «ИНФОРМАЦИОННАЯ КАРТА ЗАКУПКИ». </w:t>
      </w:r>
      <w:r>
        <w:rPr>
          <w:rFonts w:ascii="Times New Roman" w:hAnsi="Times New Roman" w:cs="Times New Roman"/>
          <w:b w:val="0"/>
          <w:bCs w:val="0"/>
        </w:rPr>
      </w:r>
    </w:p>
    <w:p>
      <w:pPr>
        <w:pStyle w:val="1118"/>
        <w:numPr>
          <w:ilvl w:val="2"/>
          <w:numId w:val="15"/>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39" w:tooltip="consultantplus://offline/ref=5126373A6C0DC5BE1AE5BF247482912E1BCBC98009FFC480FB735D20C5DBt3K" w:history="1">
        <w:r>
          <w:rPr>
            <w:rStyle w:val="1177"/>
            <w:rFonts w:ascii="Times New Roman" w:hAnsi="Times New Roman" w:cs="Times New Roman"/>
            <w:b w:val="0"/>
            <w:bCs w:val="0"/>
          </w:rPr>
          <w:t xml:space="preserve">законом</w:t>
        </w:r>
      </w:hyperlink>
      <w:r>
        <w:rPr>
          <w:rFonts w:ascii="Times New Roman" w:hAnsi="Times New Roman" w:cs="Times New Roman"/>
          <w:b w:val="0"/>
          <w:bCs w:val="0"/>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r>
        <w:rPr>
          <w:rFonts w:ascii="Times New Roman" w:hAnsi="Times New Roman" w:cs="Times New Roman"/>
          <w:b w:val="0"/>
          <w:bCs w:val="0"/>
        </w:rPr>
      </w:r>
    </w:p>
    <w:p>
      <w:pPr>
        <w:pStyle w:val="1118"/>
        <w:numPr>
          <w:ilvl w:val="2"/>
          <w:numId w:val="15"/>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 Порядок и случаи блокиров</w:t>
      </w:r>
      <w:r>
        <w:rPr>
          <w:rFonts w:ascii="Times New Roman" w:hAnsi="Times New Roman" w:cs="Times New Roman"/>
          <w:b w:val="0"/>
          <w:bCs w:val="0"/>
        </w:rPr>
        <w:t xml:space="preserve">ания денежных средств, внесенных участниками закупки в целях обеспечения заявок на участие в закупке, и прекращения данного блокирования установлены действующим законодательством о закупках отдельных видов юридических лиц, а также Регламентом работы ЕЭТП. </w:t>
      </w:r>
      <w:r>
        <w:rPr>
          <w:rFonts w:ascii="Times New Roman" w:hAnsi="Times New Roman" w:cs="Times New Roman"/>
          <w:b w:val="0"/>
          <w:bCs w:val="0"/>
        </w:rPr>
      </w:r>
    </w:p>
    <w:p>
      <w:pPr>
        <w:pStyle w:val="1118"/>
        <w:numPr>
          <w:ilvl w:val="2"/>
          <w:numId w:val="15"/>
        </w:numPr>
        <w:ind w:left="0" w:firstLine="567"/>
        <w:keepNext w:val="0"/>
        <w:spacing w:before="0" w:after="120"/>
        <w:widowControl w:val="off"/>
        <w:rPr>
          <w:rFonts w:ascii="Times New Roman" w:hAnsi="Times New Roman" w:cs="Times New Roman"/>
          <w:b w:val="0"/>
          <w:bCs w:val="0"/>
        </w:rPr>
      </w:pPr>
      <w:r/>
      <w:bookmarkStart w:id="157" w:name="_Ref535415072"/>
      <w:r>
        <w:rPr>
          <w:rFonts w:ascii="Times New Roman" w:hAnsi="Times New Roman" w:cs="Times New Roman"/>
          <w:b w:val="0"/>
          <w:bCs w:val="0"/>
        </w:rPr>
        <w:t xml:space="preserve">Возврат участнику закупки денежных средств, внесенных в качестве обеспечения заявки, не производится, в следующих случаях:</w:t>
      </w:r>
      <w:bookmarkEnd w:id="157"/>
      <w:r/>
      <w:r>
        <w:rPr>
          <w:rFonts w:ascii="Times New Roman" w:hAnsi="Times New Roman" w:cs="Times New Roman"/>
          <w:b w:val="0"/>
          <w:bCs w:val="0"/>
        </w:rPr>
      </w:r>
    </w:p>
    <w:p>
      <w:pPr>
        <w:pStyle w:val="1352"/>
        <w:numPr>
          <w:ilvl w:val="0"/>
          <w:numId w:val="14"/>
        </w:numPr>
        <w:ind w:left="1418" w:hanging="851"/>
        <w:jc w:val="both"/>
        <w:spacing w:after="120"/>
        <w:widowControl w:val="off"/>
        <w:tabs>
          <w:tab w:val="left" w:pos="1418" w:leader="none"/>
        </w:tabs>
        <w:rPr>
          <w:rFonts w:eastAsia="MS Mincho"/>
          <w:bCs/>
        </w:rPr>
      </w:pPr>
      <w:r>
        <w:t xml:space="preserve">непредставления или предоставления с нарушением условий, </w:t>
      </w:r>
      <w:r>
        <w:t xml:space="preserve">установленных настоящей документ</w:t>
      </w:r>
      <w:r>
        <w:t xml:space="preserve">ацией о закупке, до заключения договора заказчику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 и срок его предоставления до заключения договора);</w:t>
      </w:r>
      <w:r>
        <w:rPr>
          <w:rFonts w:eastAsia="MS Mincho"/>
          <w:bCs/>
        </w:rPr>
      </w:r>
    </w:p>
    <w:p>
      <w:pPr>
        <w:pStyle w:val="1352"/>
        <w:numPr>
          <w:ilvl w:val="0"/>
          <w:numId w:val="14"/>
        </w:numPr>
        <w:ind w:left="1418" w:hanging="851"/>
        <w:jc w:val="both"/>
        <w:spacing w:after="120"/>
        <w:widowControl w:val="off"/>
        <w:tabs>
          <w:tab w:val="left" w:pos="1418" w:leader="none"/>
        </w:tabs>
        <w:rPr>
          <w:rFonts w:eastAsia="MS Mincho"/>
          <w:bCs/>
        </w:rPr>
      </w:pPr>
      <w:r>
        <w:t xml:space="preserve">уклонения или отказа участника закупки от заключения договора</w:t>
      </w:r>
      <w:r>
        <w:rPr>
          <w:spacing w:val="-2"/>
        </w:rPr>
        <w:t xml:space="preserve">.</w:t>
      </w:r>
      <w:r>
        <w:rPr>
          <w:rFonts w:eastAsia="MS Mincho"/>
          <w:bCs/>
        </w:rPr>
      </w:r>
    </w:p>
    <w:p>
      <w:pPr>
        <w:pStyle w:val="1118"/>
        <w:numPr>
          <w:ilvl w:val="2"/>
          <w:numId w:val="15"/>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Денежные средства, внесенные на</w:t>
      </w:r>
      <w:r>
        <w:rPr>
          <w:rFonts w:ascii="Times New Roman" w:hAnsi="Times New Roman" w:cs="Times New Roman"/>
          <w:b w:val="0"/>
          <w:bCs w:val="0"/>
        </w:rPr>
        <w:t xml:space="preserve"> специальный банковский счет в качестве обеспечения заявок на участие в закупке, в случаях, установленных пунктом 3.6.5 документации о закупке, перечисляются на счет Заказчика по реквизитам, указанным в пункте 15 раздела II «ИНФОРМАЦИОННАЯ КАРТА ЗАКУПКИ». </w:t>
      </w:r>
      <w:r>
        <w:rPr>
          <w:rFonts w:ascii="Times New Roman" w:hAnsi="Times New Roman" w:cs="Times New Roman"/>
          <w:b w:val="0"/>
          <w:bCs w:val="0"/>
        </w:rPr>
      </w:r>
    </w:p>
    <w:p>
      <w:pPr>
        <w:pStyle w:val="1118"/>
        <w:numPr>
          <w:ilvl w:val="2"/>
          <w:numId w:val="15"/>
        </w:numPr>
        <w:ind w:left="0" w:firstLine="567"/>
        <w:keepNext w:val="0"/>
        <w:spacing w:before="0" w:after="120"/>
        <w:widowControl w:val="off"/>
        <w:rPr>
          <w:rFonts w:ascii="Times New Roman" w:hAnsi="Times New Roman" w:cs="Times New Roman"/>
          <w:b w:val="0"/>
          <w:bCs w:val="0"/>
        </w:rPr>
      </w:pPr>
      <w:r/>
      <w:bookmarkStart w:id="158" w:name="_Ref536100152"/>
      <w:r>
        <w:rPr>
          <w:rFonts w:ascii="Times New Roman" w:hAnsi="Times New Roman" w:cs="Times New Roman"/>
          <w:b w:val="0"/>
          <w:bCs w:val="0"/>
        </w:rPr>
        <w:t xml:space="preserve">При выборе участником закупки способа обеспечения заявки в виде независимой гарантии участник должен предоставить независимую гарантию по форме Закупочной документации, составленную с учетом следующих условий:</w:t>
      </w:r>
      <w:bookmarkEnd w:id="158"/>
      <w:r/>
      <w:r>
        <w:rPr>
          <w:rFonts w:ascii="Times New Roman" w:hAnsi="Times New Roman" w:cs="Times New Roman"/>
          <w:b w:val="0"/>
          <w:bCs w:val="0"/>
        </w:rPr>
      </w:r>
    </w:p>
    <w:p>
      <w:pPr>
        <w:numPr>
          <w:ilvl w:val="0"/>
          <w:numId w:val="36"/>
        </w:numPr>
        <w:ind w:left="1418" w:hanging="851"/>
        <w:spacing w:after="120"/>
        <w:widowControl w:val="off"/>
        <w:tabs>
          <w:tab w:val="left" w:pos="1418" w:leader="none"/>
        </w:tabs>
      </w:pPr>
      <w:r>
        <w:t xml:space="preserve">бенефициаром в независимой гарантии должно быть указано Акционерное обществом «</w:t>
      </w:r>
      <w:r>
        <w:t xml:space="preserve">Россети</w:t>
      </w:r>
      <w:r>
        <w:t xml:space="preserve"> Цифра» (ОГРН 1027739252496, ИНН 7705307770). Актуальная информация о месте нахождения бенефициара находится в открытом доступе на сайте https://egrul.nalog.ru/.</w:t>
      </w:r>
      <w:r/>
    </w:p>
    <w:p>
      <w:pPr>
        <w:numPr>
          <w:ilvl w:val="0"/>
          <w:numId w:val="36"/>
        </w:numPr>
        <w:ind w:left="1418" w:hanging="851"/>
        <w:spacing w:after="120"/>
        <w:widowControl w:val="off"/>
        <w:tabs>
          <w:tab w:val="left" w:pos="1418" w:leader="none"/>
        </w:tabs>
      </w:pPr>
      <w:r>
        <w:t xml:space="preserve">независимая гарантия должна быть безотзывной.</w:t>
      </w:r>
      <w:r/>
    </w:p>
    <w:p>
      <w:pPr>
        <w:numPr>
          <w:ilvl w:val="0"/>
          <w:numId w:val="36"/>
        </w:numPr>
        <w:ind w:left="1418" w:hanging="851"/>
        <w:spacing w:after="120"/>
        <w:widowControl w:val="off"/>
        <w:tabs>
          <w:tab w:val="left" w:pos="1418" w:leader="none"/>
        </w:tabs>
      </w:pPr>
      <w:r>
        <w:t xml:space="preserve">с</w:t>
      </w:r>
      <w:r>
        <w:t xml:space="preserve">рок действия независимой гарантии должен составлять 100 календарных дней</w:t>
      </w:r>
      <w:r>
        <w:rPr>
          <w:rStyle w:val="1166"/>
        </w:rPr>
        <w:footnoteReference w:id="3"/>
      </w:r>
      <w:r>
        <w:t xml:space="preserve"> со дня окончания срока подачи заявок, установленного в первоначальном извещении о закупке. </w:t>
      </w:r>
      <w:r/>
    </w:p>
    <w:p>
      <w:pPr>
        <w:numPr>
          <w:ilvl w:val="0"/>
          <w:numId w:val="36"/>
        </w:numPr>
        <w:ind w:left="1418" w:hanging="851"/>
        <w:spacing w:after="120"/>
        <w:widowControl w:val="off"/>
        <w:tabs>
          <w:tab w:val="left" w:pos="1418" w:leader="none"/>
        </w:tabs>
      </w:pPr>
      <w:r>
        <w:t xml:space="preserve">независимая гарантия предоставляется участником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p>
    <w:p>
      <w:pPr>
        <w:ind w:firstLine="567"/>
        <w:spacing w:after="120"/>
        <w:widowControl w:val="off"/>
        <w:tabs>
          <w:tab w:val="left" w:pos="1418" w:leader="none"/>
        </w:tabs>
        <w:rPr>
          <w:bCs/>
        </w:rPr>
      </w:pPr>
      <w:r>
        <w:t xml:space="preserve">В случае выдачи независимой гарантии в письменной форме на бума</w:t>
      </w:r>
      <w:r>
        <w:t xml:space="preserve">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Вместе с независимой гарантией участник закупки в составе своей заявки предоставляет свед</w:t>
      </w:r>
      <w:r>
        <w:t xml:space="preserve">ения (реестровый номер) из реестра независимых гарантий, предусмотренные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r>
        <w:rPr>
          <w:bCs/>
        </w:rPr>
        <w:t xml:space="preserve">.</w:t>
      </w:r>
      <w:r>
        <w:rPr>
          <w:bCs/>
        </w:rPr>
      </w:r>
    </w:p>
    <w:p>
      <w:pPr>
        <w:ind w:firstLine="567"/>
        <w:spacing w:after="120"/>
        <w:tabs>
          <w:tab w:val="left" w:pos="1560" w:leader="none"/>
        </w:tabs>
        <w:rPr>
          <w:b/>
        </w:rPr>
      </w:pPr>
      <w:r>
        <w:t xml:space="preserve">3.6.7.1. Независимая гарантия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b/>
        </w:rPr>
      </w:r>
    </w:p>
    <w:p>
      <w:pPr>
        <w:pStyle w:val="1118"/>
        <w:numPr>
          <w:ilvl w:val="2"/>
          <w:numId w:val="15"/>
        </w:numPr>
        <w:ind w:left="0" w:firstLine="567"/>
        <w:keepNext w:val="0"/>
        <w:spacing w:before="0" w:after="120"/>
        <w:widowControl w:val="off"/>
        <w:rPr>
          <w:rFonts w:ascii="Times New Roman" w:hAnsi="Times New Roman" w:cs="Times New Roman"/>
          <w:b w:val="0"/>
        </w:rPr>
      </w:pPr>
      <w:r>
        <w:rPr>
          <w:rFonts w:ascii="Times New Roman" w:hAnsi="Times New Roman" w:cs="Times New Roman"/>
          <w:b w:val="0"/>
        </w:rPr>
        <w:t xml:space="preserve">Информация о независимой гаран</w:t>
      </w:r>
      <w:r>
        <w:rPr>
          <w:rFonts w:ascii="Times New Roman" w:hAnsi="Times New Roman" w:cs="Times New Roman"/>
          <w:b w:val="0"/>
        </w:rPr>
        <w:t xml:space="preserve">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val="0"/>
        </w:rPr>
      </w:r>
    </w:p>
    <w:p>
      <w:pPr>
        <w:pStyle w:val="1118"/>
        <w:numPr>
          <w:ilvl w:val="2"/>
          <w:numId w:val="15"/>
        </w:numPr>
        <w:ind w:left="0" w:firstLine="567"/>
        <w:keepNext w:val="0"/>
        <w:spacing w:before="0" w:after="120"/>
        <w:widowControl w:val="off"/>
        <w:rPr>
          <w:rFonts w:ascii="Times New Roman" w:hAnsi="Times New Roman" w:cs="Times New Roman"/>
          <w:b w:val="0"/>
        </w:rPr>
      </w:pPr>
      <w:r>
        <w:rPr>
          <w:rFonts w:ascii="Times New Roman" w:hAnsi="Times New Roman" w:cs="Times New Roman"/>
          <w:b w:val="0"/>
        </w:rPr>
        <w:t xml:space="preserve">Основанием для отказа в допуске к участию в закупке является: </w:t>
      </w:r>
      <w:r>
        <w:rPr>
          <w:rFonts w:ascii="Times New Roman" w:hAnsi="Times New Roman" w:cs="Times New Roman"/>
          <w:b w:val="0"/>
        </w:rPr>
      </w:r>
    </w:p>
    <w:p>
      <w:pPr>
        <w:pStyle w:val="1118"/>
        <w:numPr>
          <w:ilvl w:val="0"/>
          <w:numId w:val="19"/>
        </w:numPr>
        <w:ind w:left="1418" w:hanging="491"/>
        <w:keepNext w:val="0"/>
        <w:spacing w:before="0" w:after="120"/>
        <w:widowControl w:val="off"/>
        <w:rPr>
          <w:rFonts w:ascii="Times New Roman" w:hAnsi="Times New Roman" w:cs="Times New Roman"/>
          <w:b w:val="0"/>
        </w:rPr>
      </w:pPr>
      <w:r>
        <w:rPr>
          <w:rFonts w:ascii="Times New Roman" w:hAnsi="Times New Roman" w:cs="Times New Roman"/>
          <w:b w:val="0"/>
        </w:rPr>
        <w:t xml:space="preserve">отсутствие информации о независимой гарантии в реестре независимых гарантий;</w:t>
      </w:r>
      <w:r>
        <w:rPr>
          <w:rFonts w:ascii="Times New Roman" w:hAnsi="Times New Roman" w:cs="Times New Roman"/>
          <w:b w:val="0"/>
        </w:rPr>
      </w:r>
    </w:p>
    <w:p>
      <w:pPr>
        <w:pStyle w:val="1118"/>
        <w:numPr>
          <w:ilvl w:val="0"/>
          <w:numId w:val="19"/>
        </w:numPr>
        <w:ind w:left="1418" w:hanging="491"/>
        <w:keepNext w:val="0"/>
        <w:spacing w:before="0" w:after="120"/>
        <w:widowControl w:val="off"/>
        <w:rPr>
          <w:rFonts w:ascii="Times New Roman" w:hAnsi="Times New Roman" w:cs="Times New Roman"/>
          <w:b w:val="0"/>
        </w:rPr>
      </w:pPr>
      <w:r>
        <w:rPr>
          <w:rFonts w:ascii="Times New Roman" w:hAnsi="Times New Roman" w:cs="Times New Roman"/>
          <w:b w:val="0"/>
        </w:rPr>
        <w:t xml:space="preserve">несоответствие независимой гарантии условиям, изложенным в настоящей документации о закупке.</w:t>
      </w:r>
      <w:r>
        <w:rPr>
          <w:rFonts w:ascii="Times New Roman" w:hAnsi="Times New Roman" w:cs="Times New Roman"/>
          <w:b w:val="0"/>
        </w:rPr>
      </w:r>
    </w:p>
    <w:p>
      <w:pPr>
        <w:pStyle w:val="1118"/>
        <w:numPr>
          <w:ilvl w:val="2"/>
          <w:numId w:val="15"/>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Взыскание по независимой гарантии производится при наступлении следующих обстоятельств, предусмотренных независимой гарантией:</w:t>
      </w:r>
      <w:r>
        <w:rPr>
          <w:rFonts w:ascii="Times New Roman" w:hAnsi="Times New Roman" w:cs="Times New Roman"/>
          <w:b w:val="0"/>
        </w:rPr>
      </w:r>
    </w:p>
    <w:p>
      <w:pPr>
        <w:pStyle w:val="1352"/>
        <w:numPr>
          <w:ilvl w:val="0"/>
          <w:numId w:val="16"/>
        </w:numPr>
        <w:ind w:left="1418" w:hanging="567"/>
        <w:jc w:val="both"/>
        <w:spacing w:after="120"/>
        <w:widowControl w:val="off"/>
        <w:tabs>
          <w:tab w:val="left" w:pos="1418" w:leader="none"/>
        </w:tabs>
      </w:pPr>
      <w:r>
        <w:rPr>
          <w:bCs/>
        </w:rPr>
        <w:t xml:space="preserve">непредставления или предоставления с нарушением условий, установленных настоящей док</w:t>
      </w:r>
      <w:r>
        <w:rPr>
          <w:bCs/>
        </w:rPr>
        <w:t xml:space="preserve">ументацией о закупке, до заключения договора заказчику обеспечения исполнения договора (в случае, если в извещении о закупке, в документации о закупке установлены требования обеспечения исполнения договора и срок его предоставления до заключения договора);</w:t>
      </w:r>
      <w:r/>
    </w:p>
    <w:p>
      <w:pPr>
        <w:pStyle w:val="1352"/>
        <w:numPr>
          <w:ilvl w:val="0"/>
          <w:numId w:val="16"/>
        </w:numPr>
        <w:ind w:left="1418" w:hanging="567"/>
        <w:jc w:val="both"/>
        <w:spacing w:after="120"/>
        <w:widowControl w:val="off"/>
        <w:tabs>
          <w:tab w:val="left" w:pos="1418" w:leader="none"/>
        </w:tabs>
      </w:pPr>
      <w:r>
        <w:rPr>
          <w:bCs/>
        </w:rPr>
        <w:t xml:space="preserve">уклонения или отказа участника закупки от заключения договора.</w:t>
      </w:r>
      <w:r/>
    </w:p>
    <w:p>
      <w:pPr>
        <w:spacing w:after="120"/>
        <w:widowControl w:val="off"/>
        <w:tabs>
          <w:tab w:val="left" w:pos="7227" w:leader="none"/>
        </w:tabs>
      </w:pPr>
      <w:r>
        <w:tab/>
      </w:r>
      <w:r/>
    </w:p>
    <w:p>
      <w:pPr>
        <w:pStyle w:val="1116"/>
        <w:numPr>
          <w:ilvl w:val="0"/>
          <w:numId w:val="15"/>
        </w:numPr>
        <w:ind w:left="0" w:firstLine="567"/>
        <w:jc w:val="left"/>
        <w:keepNext w:val="0"/>
        <w:spacing w:before="0" w:after="120"/>
        <w:widowControl w:val="off"/>
        <w:rPr>
          <w:sz w:val="24"/>
          <w:szCs w:val="24"/>
        </w:rPr>
      </w:pPr>
      <w:r/>
      <w:bookmarkStart w:id="159" w:name="_Toc166101209"/>
      <w:r/>
      <w:bookmarkStart w:id="160" w:name="_Toc123405474"/>
      <w:r/>
      <w:bookmarkStart w:id="161" w:name="_Toc132974753"/>
      <w:r/>
      <w:bookmarkStart w:id="162" w:name="_Toc126935838"/>
      <w:r/>
      <w:bookmarkStart w:id="163" w:name="_Toc224649973"/>
      <w:r/>
      <w:bookmarkStart w:id="164" w:name="_Toc236307204"/>
      <w:r>
        <w:rPr>
          <w:sz w:val="24"/>
          <w:szCs w:val="24"/>
        </w:rPr>
        <w:t xml:space="preserve">ПОДАЧА ЗАЯВОК НА УЧАСТИЕ В </w:t>
      </w:r>
      <w:bookmarkEnd w:id="159"/>
      <w:r/>
      <w:bookmarkEnd w:id="160"/>
      <w:r>
        <w:rPr>
          <w:sz w:val="24"/>
          <w:szCs w:val="24"/>
        </w:rPr>
        <w:t xml:space="preserve">ЗАКУПКЕ</w:t>
      </w:r>
      <w:bookmarkStart w:id="165" w:name="_Ref166249895"/>
      <w:r/>
      <w:bookmarkStart w:id="166" w:name="_Toc387652318"/>
      <w:r/>
      <w:bookmarkStart w:id="167" w:name="_Toc175583283"/>
      <w:r/>
      <w:bookmarkEnd w:id="161"/>
      <w:r/>
      <w:bookmarkEnd w:id="162"/>
      <w:r/>
      <w:bookmarkEnd w:id="163"/>
      <w:r/>
      <w:bookmarkEnd w:id="164"/>
      <w:r/>
      <w:r>
        <w:rPr>
          <w:sz w:val="24"/>
          <w:szCs w:val="24"/>
        </w:rPr>
      </w:r>
    </w:p>
    <w:p>
      <w:pPr>
        <w:pStyle w:val="1117"/>
        <w:ind w:left="0" w:firstLine="567"/>
        <w:jc w:val="both"/>
        <w:keepNext w:val="0"/>
        <w:spacing w:after="120"/>
        <w:widowControl w:val="off"/>
        <w:rPr>
          <w:sz w:val="24"/>
          <w:szCs w:val="24"/>
        </w:rPr>
      </w:pPr>
      <w:r/>
      <w:bookmarkStart w:id="168" w:name="_Toc224649974"/>
      <w:r/>
      <w:bookmarkStart w:id="169" w:name="_Toc236307205"/>
      <w:r>
        <w:rPr>
          <w:sz w:val="24"/>
          <w:szCs w:val="24"/>
        </w:rPr>
        <w:t xml:space="preserve">4.1. Порядок, место, дата начала и дата окончания срока подачи заявок на участие в </w:t>
      </w:r>
      <w:bookmarkEnd w:id="165"/>
      <w:r/>
      <w:bookmarkEnd w:id="166"/>
      <w:r>
        <w:rPr>
          <w:sz w:val="24"/>
          <w:szCs w:val="24"/>
        </w:rPr>
        <w:t xml:space="preserve">закупке</w:t>
      </w:r>
      <w:bookmarkEnd w:id="167"/>
      <w:r/>
      <w:bookmarkEnd w:id="168"/>
      <w:r/>
      <w:bookmarkEnd w:id="169"/>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ЕЭТП в сроки, установленные в пункте 8 части II «ИНФОРМАЦИОННАЯ КАРТА ЗАКУПКИ».</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закупки вправе подать только одну заявку на участие в процедуре закупки в отношении каждого лота.</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170" w:name="_Toc387652319"/>
      <w:r/>
      <w:bookmarkStart w:id="171" w:name="_Toc123405476"/>
      <w:r/>
      <w:bookmarkStart w:id="172" w:name="_Ref119429670"/>
      <w:r/>
      <w:bookmarkStart w:id="173" w:name="_Toc175583284"/>
      <w:r/>
      <w:bookmarkStart w:id="174" w:name="_Toc224649975"/>
      <w:r/>
      <w:bookmarkStart w:id="175" w:name="_Toc236307206"/>
      <w:r>
        <w:rPr>
          <w:sz w:val="24"/>
          <w:szCs w:val="24"/>
        </w:rPr>
        <w:t xml:space="preserve">Изменения и отзыв заявок на участие в </w:t>
      </w:r>
      <w:bookmarkEnd w:id="170"/>
      <w:r/>
      <w:bookmarkEnd w:id="171"/>
      <w:r/>
      <w:bookmarkEnd w:id="172"/>
      <w:r>
        <w:rPr>
          <w:sz w:val="24"/>
          <w:szCs w:val="24"/>
        </w:rPr>
        <w:t xml:space="preserve">закупке</w:t>
      </w:r>
      <w:bookmarkEnd w:id="173"/>
      <w:r/>
      <w:bookmarkEnd w:id="174"/>
      <w:r/>
      <w:bookmarkEnd w:id="175"/>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закупки, подавший заявку на участие в закупке, вправе изменить или отозвать заявку на участие в закупке в любое время до момента окончания срока подачи заявок на участие в закупке.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Порядок изменения и отзыва заявок на участие в закупке определен Регламентом работы ЕЭТП. </w:t>
      </w:r>
      <w:r>
        <w:rPr>
          <w:rFonts w:ascii="Times New Roman" w:hAnsi="Times New Roman" w:cs="Times New Roman"/>
          <w:b w:val="0"/>
          <w:bCs w:val="0"/>
        </w:rPr>
      </w:r>
    </w:p>
    <w:p>
      <w:pPr>
        <w:pStyle w:val="1118"/>
        <w:numPr>
          <w:ilvl w:val="2"/>
          <w:numId w:val="21"/>
        </w:numPr>
        <w:ind w:left="0" w:firstLine="567"/>
        <w:keepNext w:val="0"/>
        <w:spacing w:before="0" w:after="0"/>
        <w:widowControl w:val="off"/>
        <w:rPr>
          <w:rFonts w:ascii="Times New Roman" w:hAnsi="Times New Roman" w:cs="Times New Roman"/>
          <w:b w:val="0"/>
          <w:bCs w:val="0"/>
        </w:rPr>
      </w:pPr>
      <w:r>
        <w:rPr>
          <w:rFonts w:ascii="Times New Roman" w:hAnsi="Times New Roman" w:cs="Times New Roman"/>
          <w:b w:val="0"/>
          <w:bCs w:val="0"/>
        </w:rPr>
        <w:t xml:space="preserve">После окончания срока подачи заявок не допускается изменение или отзыв заявок на участие в закупке за исключением случаев, предусмотренных законодательством о закупках отдельных видов юридических лиц.</w:t>
      </w:r>
      <w:r>
        <w:rPr>
          <w:rFonts w:ascii="Times New Roman" w:hAnsi="Times New Roman" w:cs="Times New Roman"/>
          <w:b w:val="0"/>
          <w:bCs w:val="0"/>
        </w:rPr>
      </w:r>
    </w:p>
    <w:p>
      <w:pPr>
        <w:ind w:firstLine="567"/>
        <w:spacing w:after="120"/>
        <w:widowControl w:val="off"/>
      </w:pPr>
      <w:r/>
      <w:r/>
    </w:p>
    <w:p>
      <w:pPr>
        <w:pStyle w:val="1116"/>
        <w:numPr>
          <w:ilvl w:val="0"/>
          <w:numId w:val="21"/>
        </w:numPr>
        <w:ind w:left="0" w:firstLine="567"/>
        <w:jc w:val="left"/>
        <w:keepNext w:val="0"/>
        <w:spacing w:before="0" w:after="120"/>
        <w:widowControl w:val="off"/>
        <w:rPr>
          <w:sz w:val="24"/>
          <w:szCs w:val="24"/>
        </w:rPr>
      </w:pPr>
      <w:r/>
      <w:bookmarkStart w:id="176" w:name="_Toc337272"/>
      <w:r/>
      <w:bookmarkStart w:id="177" w:name="_Toc175583285"/>
      <w:r/>
      <w:bookmarkStart w:id="178" w:name="_Toc224649976"/>
      <w:r/>
      <w:bookmarkStart w:id="179" w:name="_Toc236307207"/>
      <w:r>
        <w:rPr>
          <w:sz w:val="24"/>
          <w:szCs w:val="24"/>
        </w:rPr>
        <w:t xml:space="preserve">ПОРЯДОК ПРОВЕДЕНИЯ ЗАКУПКИ</w:t>
      </w:r>
      <w:bookmarkEnd w:id="176"/>
      <w:r/>
      <w:bookmarkEnd w:id="177"/>
      <w:r/>
      <w:bookmarkEnd w:id="178"/>
      <w:r/>
      <w:bookmarkEnd w:id="179"/>
      <w:r/>
      <w:r>
        <w:rPr>
          <w:sz w:val="24"/>
          <w:szCs w:val="24"/>
        </w:rPr>
      </w:r>
    </w:p>
    <w:p>
      <w:pPr>
        <w:pStyle w:val="1117"/>
        <w:numPr>
          <w:ilvl w:val="1"/>
          <w:numId w:val="21"/>
        </w:numPr>
        <w:ind w:left="0" w:firstLine="567"/>
        <w:jc w:val="left"/>
        <w:keepNext w:val="0"/>
        <w:spacing w:after="120"/>
        <w:widowControl w:val="off"/>
        <w:rPr>
          <w:b w:val="0"/>
          <w:sz w:val="24"/>
          <w:szCs w:val="24"/>
        </w:rPr>
      </w:pPr>
      <w:r/>
      <w:bookmarkStart w:id="180" w:name="_Toc97464623"/>
      <w:r/>
      <w:bookmarkStart w:id="181" w:name="_Toc103849682"/>
      <w:r/>
      <w:bookmarkStart w:id="182" w:name="_Toc63765776"/>
      <w:r/>
      <w:bookmarkStart w:id="183" w:name="_Toc69112944"/>
      <w:r/>
      <w:bookmarkStart w:id="184" w:name="_Toc69376430"/>
      <w:r/>
      <w:bookmarkStart w:id="185" w:name="_Toc78270654"/>
      <w:r/>
      <w:bookmarkStart w:id="186" w:name="_Toc88823575"/>
      <w:r/>
      <w:bookmarkStart w:id="187" w:name="_Toc89083614"/>
      <w:r/>
      <w:bookmarkStart w:id="188" w:name="_Toc103175493"/>
      <w:r/>
      <w:bookmarkStart w:id="189" w:name="_Toc58242325"/>
      <w:r/>
      <w:bookmarkStart w:id="190" w:name="_Toc108512666"/>
      <w:r/>
      <w:bookmarkStart w:id="191" w:name="_Toc108612934"/>
      <w:r/>
      <w:bookmarkStart w:id="192" w:name="_Toc110854179"/>
      <w:r/>
      <w:bookmarkStart w:id="193" w:name="_Toc175583286"/>
      <w:r/>
      <w:bookmarkStart w:id="194" w:name="_Toc57630466"/>
      <w:r/>
      <w:bookmarkStart w:id="195" w:name="_Toc104378945"/>
      <w:r/>
      <w:bookmarkStart w:id="196" w:name="_Toc106788984"/>
      <w:r/>
      <w:bookmarkStart w:id="197" w:name="_Toc6913799"/>
      <w:r/>
      <w:bookmarkStart w:id="198" w:name="_Toc17735591"/>
      <w:r/>
      <w:bookmarkStart w:id="199" w:name="_Toc4075593"/>
      <w:r/>
      <w:bookmarkStart w:id="200" w:name="_Toc2351367"/>
      <w:r/>
      <w:bookmarkStart w:id="201" w:name="_Toc2351434"/>
      <w:r/>
      <w:bookmarkStart w:id="202" w:name="_Toc3204414"/>
      <w:r/>
      <w:bookmarkStart w:id="203" w:name="_Toc3555481"/>
      <w:r/>
      <w:bookmarkStart w:id="204" w:name="_Toc4578026"/>
      <w:r/>
      <w:bookmarkStart w:id="205" w:name="_Toc4590447"/>
      <w:r/>
      <w:bookmarkStart w:id="206" w:name="_Toc6299379"/>
      <w:r/>
      <w:bookmarkStart w:id="207" w:name="_Toc3810130"/>
      <w:r/>
      <w:bookmarkStart w:id="208" w:name="_Toc31963492"/>
      <w:r/>
      <w:bookmarkStart w:id="209" w:name="_Toc33084914"/>
      <w:r/>
      <w:bookmarkStart w:id="210" w:name="_Toc33539063"/>
      <w:r/>
      <w:bookmarkStart w:id="211" w:name="_Toc41402318"/>
      <w:r/>
      <w:bookmarkStart w:id="212" w:name="_Toc47961650"/>
      <w:r/>
      <w:bookmarkStart w:id="213" w:name="_Toc52445778"/>
      <w:r/>
      <w:bookmarkStart w:id="214" w:name="_Toc56503388"/>
      <w:r/>
      <w:bookmarkStart w:id="215" w:name="_Toc106094364"/>
      <w:r/>
      <w:bookmarkStart w:id="216" w:name="_Toc224649977"/>
      <w:r/>
      <w:bookmarkStart w:id="217" w:name="_Toc236307208"/>
      <w:r>
        <w:rPr>
          <w:b w:val="0"/>
          <w:sz w:val="24"/>
          <w:szCs w:val="24"/>
        </w:rPr>
        <w:t xml:space="preserve">Закупочная процедура проводится в следующем порядке:</w:t>
      </w:r>
      <w:bookmarkEnd w:id="180"/>
      <w:r/>
      <w:bookmarkEnd w:id="181"/>
      <w:r/>
      <w:bookmarkEnd w:id="182"/>
      <w:r/>
      <w:bookmarkEnd w:id="183"/>
      <w:r/>
      <w:bookmarkEnd w:id="184"/>
      <w:r/>
      <w:bookmarkEnd w:id="185"/>
      <w:r/>
      <w:bookmarkEnd w:id="186"/>
      <w:r/>
      <w:bookmarkEnd w:id="187"/>
      <w:r/>
      <w:bookmarkEnd w:id="188"/>
      <w:r/>
      <w:bookmarkEnd w:id="189"/>
      <w:r/>
      <w:bookmarkEnd w:id="190"/>
      <w:r/>
      <w:bookmarkEnd w:id="191"/>
      <w:r/>
      <w:bookmarkEnd w:id="192"/>
      <w:r/>
      <w:bookmarkEnd w:id="193"/>
      <w:r/>
      <w:bookmarkEnd w:id="194"/>
      <w:r/>
      <w:bookmarkEnd w:id="195"/>
      <w:r/>
      <w:bookmarkEnd w:id="196"/>
      <w:r/>
      <w:bookmarkEnd w:id="197"/>
      <w:r/>
      <w:bookmarkEnd w:id="198"/>
      <w:r/>
      <w:bookmarkEnd w:id="199"/>
      <w:r/>
      <w:bookmarkEnd w:id="200"/>
      <w:r/>
      <w:bookmarkEnd w:id="201"/>
      <w:r/>
      <w:bookmarkEnd w:id="202"/>
      <w:r/>
      <w:bookmarkEnd w:id="203"/>
      <w:r/>
      <w:bookmarkEnd w:id="204"/>
      <w:r/>
      <w:bookmarkEnd w:id="205"/>
      <w:r/>
      <w:bookmarkEnd w:id="206"/>
      <w:r/>
      <w:bookmarkEnd w:id="207"/>
      <w:r/>
      <w:bookmarkEnd w:id="208"/>
      <w:r/>
      <w:bookmarkEnd w:id="209"/>
      <w:r/>
      <w:bookmarkEnd w:id="210"/>
      <w:r/>
      <w:bookmarkEnd w:id="211"/>
      <w:r/>
      <w:bookmarkEnd w:id="212"/>
      <w:r/>
      <w:bookmarkEnd w:id="213"/>
      <w:r/>
      <w:bookmarkEnd w:id="214"/>
      <w:r/>
      <w:bookmarkEnd w:id="215"/>
      <w:r/>
      <w:bookmarkEnd w:id="216"/>
      <w:r/>
      <w:bookmarkEnd w:id="217"/>
      <w:r/>
      <w:r>
        <w:rPr>
          <w:b w:val="0"/>
          <w:sz w:val="24"/>
          <w:szCs w:val="24"/>
        </w:rPr>
      </w:r>
    </w:p>
    <w:p>
      <w:pPr>
        <w:pStyle w:val="1352"/>
        <w:numPr>
          <w:ilvl w:val="0"/>
          <w:numId w:val="20"/>
        </w:numPr>
        <w:ind w:left="1418" w:hanging="851"/>
        <w:jc w:val="both"/>
        <w:spacing w:after="120"/>
        <w:widowControl w:val="off"/>
      </w:pPr>
      <w:r>
        <w:t xml:space="preserve">размещение извещения о закупке и, при необходимости, документации о закупке в единой информационной системе (п. 2.1 части </w:t>
      </w:r>
      <w:r>
        <w:rPr>
          <w:lang w:val="en-US"/>
        </w:rPr>
        <w:t xml:space="preserve">I</w:t>
      </w:r>
      <w:r>
        <w:t xml:space="preserve"> </w:t>
      </w:r>
      <w:r>
        <w:rPr>
          <w:b/>
        </w:rPr>
        <w:t xml:space="preserve">«</w:t>
      </w:r>
      <w:r>
        <w:t xml:space="preserve">ОБЩИЕ УСЛОВИЯ ПРОВЕДЕНИЯ ЗАКУПКИ</w:t>
      </w:r>
      <w:r>
        <w:rPr>
          <w:b/>
        </w:rPr>
        <w:t xml:space="preserve">»</w:t>
      </w:r>
      <w:r>
        <w:t xml:space="preserve">);</w:t>
      </w:r>
      <w:r/>
    </w:p>
    <w:p>
      <w:pPr>
        <w:pStyle w:val="1352"/>
        <w:numPr>
          <w:ilvl w:val="0"/>
          <w:numId w:val="20"/>
        </w:numPr>
        <w:ind w:left="1418" w:hanging="851"/>
        <w:jc w:val="both"/>
        <w:spacing w:after="120"/>
        <w:widowControl w:val="off"/>
      </w:pPr>
      <w:r>
        <w:t xml:space="preserve">пред</w:t>
      </w:r>
      <w:r>
        <w:t xml:space="preserve">оставление по запросам участников закупки разъяснений извещения о закупке и (или) документации о закупке, внесение изменений в извещение о закупке и (или) документацию о закупке размещение разъяснений/изменений/ информации об отказе от проведения закупки (</w:t>
      </w:r>
      <w:r>
        <w:t xml:space="preserve">пп</w:t>
      </w:r>
      <w:r>
        <w:t xml:space="preserve">. 2.2, 2.3, 2.4 части </w:t>
      </w:r>
      <w:r>
        <w:rPr>
          <w:lang w:val="en-US"/>
        </w:rPr>
        <w:t xml:space="preserve">I</w:t>
      </w:r>
      <w:r>
        <w:t xml:space="preserve"> </w:t>
      </w:r>
      <w:r>
        <w:rPr>
          <w:b/>
        </w:rPr>
        <w:t xml:space="preserve">«</w:t>
      </w:r>
      <w:r>
        <w:t xml:space="preserve">ОБЩИЕ УСЛОВИЯ ПРОВЕДЕНИЯ ЗАКУПКИ</w:t>
      </w:r>
      <w:r>
        <w:rPr>
          <w:b/>
        </w:rPr>
        <w:t xml:space="preserve">»)</w:t>
      </w:r>
      <w:r>
        <w:t xml:space="preserve">;</w:t>
      </w:r>
      <w:r/>
    </w:p>
    <w:p>
      <w:pPr>
        <w:pStyle w:val="1352"/>
        <w:numPr>
          <w:ilvl w:val="0"/>
          <w:numId w:val="20"/>
        </w:numPr>
        <w:ind w:left="1418" w:hanging="851"/>
        <w:jc w:val="both"/>
        <w:spacing w:after="120"/>
        <w:widowControl w:val="off"/>
      </w:pPr>
      <w:r>
        <w:t xml:space="preserve">подача заявок через функционал электронной площадки (п.4.1 части </w:t>
      </w:r>
      <w:r>
        <w:rPr>
          <w:lang w:val="en-US"/>
        </w:rPr>
        <w:t xml:space="preserve">I</w:t>
      </w:r>
      <w:r>
        <w:t xml:space="preserve"> </w:t>
      </w:r>
      <w:r>
        <w:rPr>
          <w:b/>
        </w:rPr>
        <w:t xml:space="preserve">«</w:t>
      </w:r>
      <w:r>
        <w:t xml:space="preserve">ОБЩИЕ УСЛОВИЯ ПРОВЕДЕНИЯ ЗАКУПКИ</w:t>
      </w:r>
      <w:r>
        <w:rPr>
          <w:b/>
        </w:rPr>
        <w:t xml:space="preserve">»)</w:t>
      </w:r>
      <w:r>
        <w:t xml:space="preserve">;</w:t>
      </w:r>
      <w:r/>
    </w:p>
    <w:p>
      <w:pPr>
        <w:pStyle w:val="1352"/>
        <w:numPr>
          <w:ilvl w:val="0"/>
          <w:numId w:val="20"/>
        </w:numPr>
        <w:ind w:left="1418" w:hanging="851"/>
        <w:jc w:val="both"/>
        <w:spacing w:after="120"/>
        <w:widowControl w:val="off"/>
      </w:pPr>
      <w:r>
        <w:t xml:space="preserve">проведение этапов закупки, установленных в пункте 7 части II «ИНФОРМАЦИОННАЯ КАРТА ЗАКУПКИ»</w:t>
      </w:r>
      <w:r>
        <w:rPr>
          <w:b/>
        </w:rPr>
        <w:t xml:space="preserve"> </w:t>
      </w:r>
      <w:r>
        <w:t xml:space="preserve">с формированием протоколов </w:t>
      </w:r>
      <w:r>
        <w:t xml:space="preserve">по результатам каждого этапа и итогового протокола. Размещение протоколов, составленных в ходе проведения закупки в единой информационной системе (пп.6 части </w:t>
      </w:r>
      <w:r>
        <w:rPr>
          <w:lang w:val="en-US"/>
        </w:rPr>
        <w:t xml:space="preserve">I</w:t>
      </w:r>
      <w:r>
        <w:t xml:space="preserve"> </w:t>
      </w:r>
      <w:r>
        <w:rPr>
          <w:b/>
        </w:rPr>
        <w:t xml:space="preserve">«</w:t>
      </w:r>
      <w:r>
        <w:t xml:space="preserve">ОБЩИЕ УСЛОВИЯ ПРОВЕДЕНИЯ ЗАКУПКИ</w:t>
      </w:r>
      <w:r>
        <w:rPr>
          <w:b/>
        </w:rPr>
        <w:t xml:space="preserve">»</w:t>
      </w:r>
      <w:r>
        <w:t xml:space="preserve">);</w:t>
      </w:r>
      <w:r/>
    </w:p>
    <w:p>
      <w:pPr>
        <w:pStyle w:val="1352"/>
        <w:numPr>
          <w:ilvl w:val="0"/>
          <w:numId w:val="20"/>
        </w:numPr>
        <w:ind w:left="1418" w:hanging="851"/>
        <w:jc w:val="both"/>
        <w:widowControl w:val="off"/>
        <w:rPr>
          <w:b/>
        </w:rPr>
      </w:pPr>
      <w:r>
        <w:t xml:space="preserve">подписание договора с победителем (единственным участником закупки) (п. 8.1 части </w:t>
      </w:r>
      <w:r>
        <w:rPr>
          <w:lang w:val="en-US"/>
        </w:rPr>
        <w:t xml:space="preserve">I</w:t>
      </w:r>
      <w:r>
        <w:t xml:space="preserve"> </w:t>
      </w:r>
      <w:r>
        <w:rPr>
          <w:b/>
        </w:rPr>
        <w:t xml:space="preserve">«</w:t>
      </w:r>
      <w:r>
        <w:t xml:space="preserve">ОБЩИЕ УСЛОВИЯ ПРОВЕДЕНИЯ ЗАКУПКИ</w:t>
      </w:r>
      <w:r>
        <w:rPr>
          <w:b/>
        </w:rPr>
        <w:t xml:space="preserve">»).</w:t>
      </w:r>
      <w:r>
        <w:rPr>
          <w:b/>
        </w:rPr>
      </w:r>
    </w:p>
    <w:p>
      <w:pPr>
        <w:ind w:firstLine="567"/>
        <w:spacing w:after="120"/>
        <w:widowControl w:val="off"/>
      </w:pPr>
      <w:r/>
      <w:r/>
    </w:p>
    <w:p>
      <w:pPr>
        <w:pStyle w:val="1116"/>
        <w:numPr>
          <w:ilvl w:val="0"/>
          <w:numId w:val="21"/>
        </w:numPr>
        <w:ind w:left="0" w:firstLine="567"/>
        <w:jc w:val="left"/>
        <w:keepNext w:val="0"/>
        <w:spacing w:before="0" w:after="120"/>
        <w:widowControl w:val="off"/>
        <w:rPr>
          <w:sz w:val="24"/>
          <w:szCs w:val="24"/>
        </w:rPr>
      </w:pPr>
      <w:r/>
      <w:bookmarkStart w:id="218" w:name="_Toc175583287"/>
      <w:r/>
      <w:bookmarkStart w:id="219" w:name="_Toc224649978"/>
      <w:r/>
      <w:bookmarkStart w:id="220" w:name="_Toc236307209"/>
      <w:r>
        <w:rPr>
          <w:sz w:val="24"/>
          <w:szCs w:val="24"/>
        </w:rPr>
        <w:t xml:space="preserve">ПОРЯДОК ПРОВЕДЕНИЯ ЭТАПОВ ЗАКУПКИ</w:t>
      </w:r>
      <w:bookmarkEnd w:id="218"/>
      <w:r/>
      <w:bookmarkEnd w:id="219"/>
      <w:r/>
      <w:bookmarkEnd w:id="220"/>
      <w:r/>
      <w:r>
        <w:rPr>
          <w:sz w:val="24"/>
          <w:szCs w:val="24"/>
        </w:rPr>
      </w:r>
    </w:p>
    <w:p>
      <w:pPr>
        <w:pStyle w:val="1117"/>
        <w:numPr>
          <w:ilvl w:val="1"/>
          <w:numId w:val="21"/>
        </w:numPr>
        <w:ind w:left="0" w:firstLine="567"/>
        <w:jc w:val="both"/>
        <w:keepNext w:val="0"/>
        <w:spacing w:after="120"/>
        <w:widowControl w:val="off"/>
        <w:rPr>
          <w:sz w:val="24"/>
          <w:szCs w:val="24"/>
        </w:rPr>
      </w:pPr>
      <w:r/>
      <w:bookmarkStart w:id="221" w:name="_Toc108512668"/>
      <w:r/>
      <w:bookmarkStart w:id="222" w:name="_Toc106094366"/>
      <w:r/>
      <w:bookmarkStart w:id="223" w:name="_Toc104378947"/>
      <w:r/>
      <w:bookmarkStart w:id="224" w:name="_Toc63765778"/>
      <w:r/>
      <w:bookmarkStart w:id="225" w:name="_Toc69112946"/>
      <w:r/>
      <w:bookmarkStart w:id="226" w:name="_Toc69376432"/>
      <w:r/>
      <w:bookmarkStart w:id="227" w:name="_Toc88823577"/>
      <w:r/>
      <w:bookmarkStart w:id="228" w:name="_Toc97464625"/>
      <w:r/>
      <w:bookmarkStart w:id="229" w:name="_Toc103175495"/>
      <w:r/>
      <w:bookmarkStart w:id="230" w:name="_Toc108612936"/>
      <w:r/>
      <w:bookmarkStart w:id="231" w:name="_Toc110854181"/>
      <w:r/>
      <w:bookmarkStart w:id="232" w:name="_Toc175583288"/>
      <w:r/>
      <w:bookmarkStart w:id="233" w:name="_Toc103849684"/>
      <w:r/>
      <w:bookmarkStart w:id="234" w:name="_Toc57630468"/>
      <w:r/>
      <w:bookmarkStart w:id="235" w:name="_Toc58242327"/>
      <w:r/>
      <w:bookmarkStart w:id="236" w:name="_Toc106788986"/>
      <w:r/>
      <w:bookmarkStart w:id="237" w:name="_Toc17735593"/>
      <w:r/>
      <w:bookmarkStart w:id="238" w:name="_Ref535416464"/>
      <w:r/>
      <w:bookmarkStart w:id="239" w:name="_Toc33084916"/>
      <w:r/>
      <w:bookmarkStart w:id="240" w:name="_Toc3204416"/>
      <w:r/>
      <w:bookmarkStart w:id="241" w:name="_Toc3555483"/>
      <w:r/>
      <w:bookmarkStart w:id="242" w:name="_Toc3810132"/>
      <w:r/>
      <w:bookmarkStart w:id="243" w:name="_Toc4075595"/>
      <w:r/>
      <w:bookmarkStart w:id="244" w:name="_Toc4578028"/>
      <w:r/>
      <w:bookmarkStart w:id="245" w:name="_Toc4590449"/>
      <w:r/>
      <w:bookmarkStart w:id="246" w:name="_Toc33539065"/>
      <w:r/>
      <w:bookmarkStart w:id="247" w:name="_Toc41402320"/>
      <w:r/>
      <w:bookmarkStart w:id="248" w:name="_Toc47961652"/>
      <w:r/>
      <w:bookmarkStart w:id="249" w:name="_Toc52445780"/>
      <w:r/>
      <w:bookmarkStart w:id="250" w:name="_Toc56503390"/>
      <w:r/>
      <w:bookmarkStart w:id="251" w:name="_Toc6913801"/>
      <w:r/>
      <w:bookmarkStart w:id="252" w:name="_Toc6299381"/>
      <w:r/>
      <w:bookmarkStart w:id="253" w:name="_Toc31963494"/>
      <w:r/>
      <w:bookmarkStart w:id="254" w:name="_Toc224649979"/>
      <w:r/>
      <w:bookmarkStart w:id="255" w:name="_Toc236307210"/>
      <w:r>
        <w:rPr>
          <w:sz w:val="24"/>
          <w:szCs w:val="24"/>
        </w:rPr>
        <w:t xml:space="preserve">Обсуждение с участниками конкурса функциональных характеристик </w:t>
      </w:r>
      <w:r>
        <w:rPr>
          <w:sz w:val="24"/>
          <w:szCs w:val="24"/>
        </w:rPr>
        <w:t xml:space="preserve">(потребительских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221"/>
      <w:r/>
      <w:bookmarkEnd w:id="222"/>
      <w:r/>
      <w:bookmarkEnd w:id="223"/>
      <w:r/>
      <w:bookmarkEnd w:id="224"/>
      <w:r/>
      <w:bookmarkEnd w:id="225"/>
      <w:r/>
      <w:bookmarkEnd w:id="226"/>
      <w:r/>
      <w:bookmarkEnd w:id="227"/>
      <w:r/>
      <w:bookmarkEnd w:id="228"/>
      <w:r/>
      <w:bookmarkEnd w:id="229"/>
      <w:r/>
      <w:bookmarkEnd w:id="230"/>
      <w:r/>
      <w:bookmarkEnd w:id="231"/>
      <w:r/>
      <w:bookmarkEnd w:id="232"/>
      <w:r/>
      <w:bookmarkEnd w:id="233"/>
      <w:r/>
      <w:bookmarkEnd w:id="234"/>
      <w:r/>
      <w:bookmarkEnd w:id="235"/>
      <w:r/>
      <w:bookmarkEnd w:id="236"/>
      <w:r/>
      <w:bookmarkEnd w:id="237"/>
      <w:r/>
      <w:bookmarkEnd w:id="238"/>
      <w:r/>
      <w:bookmarkEnd w:id="239"/>
      <w:r/>
      <w:bookmarkEnd w:id="240"/>
      <w:r/>
      <w:bookmarkEnd w:id="241"/>
      <w:r/>
      <w:bookmarkEnd w:id="242"/>
      <w:r/>
      <w:bookmarkEnd w:id="243"/>
      <w:r/>
      <w:bookmarkEnd w:id="244"/>
      <w:r/>
      <w:bookmarkEnd w:id="245"/>
      <w:r/>
      <w:bookmarkEnd w:id="246"/>
      <w:r/>
      <w:bookmarkEnd w:id="247"/>
      <w:r/>
      <w:bookmarkEnd w:id="248"/>
      <w:r/>
      <w:bookmarkEnd w:id="249"/>
      <w:r/>
      <w:bookmarkEnd w:id="250"/>
      <w:r/>
      <w:bookmarkEnd w:id="251"/>
      <w:r/>
      <w:bookmarkEnd w:id="252"/>
      <w:r/>
      <w:bookmarkEnd w:id="253"/>
      <w:r/>
      <w:bookmarkEnd w:id="254"/>
      <w:r/>
      <w:bookmarkEnd w:id="255"/>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проведении закупки Заказчик вправе принять решение о проведении такого этапа закупки как «обсуждение с участниками конкурса функциональных характеристик (потребительс</w:t>
      </w:r>
      <w:r>
        <w:rPr>
          <w:rFonts w:ascii="Times New Roman" w:hAnsi="Times New Roman" w:cs="Times New Roman"/>
          <w:b w:val="0"/>
          <w:bCs w:val="0"/>
        </w:rPr>
        <w:t xml:space="preserve">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Pr>
          <w:rFonts w:ascii="Times New Roman" w:hAnsi="Times New Roman" w:cs="Times New Roman"/>
          <w:b w:val="0"/>
          <w:bCs w:val="0"/>
        </w:rPr>
        <w:t xml:space="preserve"> Информация о проведении такого этапа в рамках закупки указывается в пункте 7 части II «ИНФОРМАЦИОННАЯ КАРТА ЗАКУПКИ».</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Указанный в </w:t>
      </w:r>
      <w:r>
        <w:rPr>
          <w:rFonts w:ascii="Times New Roman" w:hAnsi="Times New Roman" w:cs="Times New Roman"/>
          <w:b w:val="0"/>
          <w:bCs w:val="0"/>
        </w:rPr>
        <w:t xml:space="preserve">пункте 6.1.1 настоящей документации о закупке этап закупки проводится в сроки, предусмотренные в пункте 8 части II «ИНФОРМАЦИОННАЯ КАРТА ЗАКУПКИ», но не позднее срока окончания подачи заявок на участие в закупке, в порядке предусмотренным Регламентом ЕЭТП.</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 результатам данного этапа закупки Заказчик составляет протокол, в котором указывается, в том числе, информация о принятом им </w:t>
      </w:r>
      <w:r>
        <w:rPr>
          <w:rFonts w:ascii="Times New Roman" w:hAnsi="Times New Roman" w:cs="Times New Roman"/>
          <w:b w:val="0"/>
          <w:bCs w:val="0"/>
        </w:rPr>
        <w:t xml:space="preserve">решении</w:t>
      </w:r>
      <w:r>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w:t>
      </w:r>
      <w:r>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w:t>
      </w:r>
      <w:r>
        <w:rPr>
          <w:rFonts w:ascii="Times New Roman" w:hAnsi="Times New Roman" w:cs="Times New Roman"/>
          <w:b w:val="0"/>
          <w:bCs w:val="0"/>
        </w:rPr>
        <w:t xml:space="preserve">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принятия Заказчиком решения не вносить уточнения в извещение о закупке и </w:t>
      </w:r>
      <w:r>
        <w:rPr>
          <w:rFonts w:ascii="Times New Roman" w:hAnsi="Times New Roman" w:cs="Times New Roman"/>
          <w:b w:val="0"/>
          <w:bCs w:val="0"/>
        </w:rPr>
        <w:t xml:space="preserve">документацию</w:t>
      </w:r>
      <w:r>
        <w:rPr>
          <w:rFonts w:ascii="Times New Roman" w:hAnsi="Times New Roman" w:cs="Times New Roman"/>
          <w:b w:val="0"/>
          <w:bCs w:val="0"/>
        </w:rPr>
        <w:t xml:space="preserve"> о закупке, информация об этом решении указывается в протоколе, составляемом по результатам проведения данного этапа конкурса. При этом участники закупки не подают окончательные предложения.</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закупки вправе подать одно</w:t>
      </w:r>
      <w:r>
        <w:rPr>
          <w:rFonts w:ascii="Times New Roman" w:hAnsi="Times New Roman" w:cs="Times New Roman"/>
          <w:b w:val="0"/>
          <w:bCs w:val="0"/>
        </w:rPr>
        <w:t xml:space="preserve">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w:t>
      </w:r>
      <w:r>
        <w:rPr>
          <w:rFonts w:ascii="Times New Roman" w:hAnsi="Times New Roman" w:cs="Times New Roman"/>
          <w:b w:val="0"/>
          <w:bCs w:val="0"/>
        </w:rPr>
        <w:t xml:space="preserve">документацией. Подача окончательного предложения осуществляется в порядке, установленном для подачи заявки.</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256" w:name="_Toc103849685"/>
      <w:r/>
      <w:bookmarkStart w:id="257" w:name="_Toc57630469"/>
      <w:r/>
      <w:bookmarkStart w:id="258" w:name="_Toc58242328"/>
      <w:r/>
      <w:bookmarkStart w:id="259" w:name="_Toc63765779"/>
      <w:r/>
      <w:bookmarkStart w:id="260" w:name="_Toc69112947"/>
      <w:r/>
      <w:bookmarkStart w:id="261" w:name="_Toc69376433"/>
      <w:r/>
      <w:bookmarkStart w:id="262" w:name="_Toc88823578"/>
      <w:r/>
      <w:bookmarkStart w:id="263" w:name="_Toc97464626"/>
      <w:r/>
      <w:bookmarkStart w:id="264" w:name="_Toc106094367"/>
      <w:r/>
      <w:bookmarkStart w:id="265" w:name="_Toc106788987"/>
      <w:r/>
      <w:bookmarkStart w:id="266" w:name="_Toc108512669"/>
      <w:r/>
      <w:bookmarkStart w:id="267" w:name="_Toc108612937"/>
      <w:r/>
      <w:bookmarkStart w:id="268" w:name="_Toc110854182"/>
      <w:r/>
      <w:bookmarkStart w:id="269" w:name="_Toc175583289"/>
      <w:r/>
      <w:bookmarkStart w:id="270" w:name="_Toc56503391"/>
      <w:r/>
      <w:bookmarkStart w:id="271" w:name="_Toc104378948"/>
      <w:r/>
      <w:bookmarkStart w:id="272" w:name="_Toc6913802"/>
      <w:r/>
      <w:bookmarkStart w:id="273" w:name="_Toc6299382"/>
      <w:r/>
      <w:bookmarkStart w:id="274" w:name="_Ref535416467"/>
      <w:r/>
      <w:bookmarkStart w:id="275" w:name="_Ref535416507"/>
      <w:r/>
      <w:bookmarkStart w:id="276" w:name="_Toc3204417"/>
      <w:r/>
      <w:bookmarkStart w:id="277" w:name="_Toc3555484"/>
      <w:r/>
      <w:bookmarkStart w:id="278" w:name="_Toc3810133"/>
      <w:r/>
      <w:bookmarkStart w:id="279" w:name="_Toc4075596"/>
      <w:r/>
      <w:bookmarkStart w:id="280" w:name="_Toc4578029"/>
      <w:r/>
      <w:bookmarkStart w:id="281" w:name="_Toc4590450"/>
      <w:r/>
      <w:bookmarkStart w:id="282" w:name="_Toc17735594"/>
      <w:r/>
      <w:bookmarkStart w:id="283" w:name="_Toc31963495"/>
      <w:r/>
      <w:bookmarkStart w:id="284" w:name="_Toc33084917"/>
      <w:r/>
      <w:bookmarkStart w:id="285" w:name="_Toc33539066"/>
      <w:r/>
      <w:bookmarkStart w:id="286" w:name="_Toc41402321"/>
      <w:r/>
      <w:bookmarkStart w:id="287" w:name="_Toc47961653"/>
      <w:r/>
      <w:bookmarkStart w:id="288" w:name="_Toc52445781"/>
      <w:r/>
      <w:bookmarkStart w:id="289" w:name="_Toc103175496"/>
      <w:r/>
      <w:bookmarkStart w:id="290" w:name="_Toc224649980"/>
      <w:r/>
      <w:bookmarkStart w:id="291" w:name="_Toc236307211"/>
      <w:r>
        <w:rPr>
          <w:sz w:val="24"/>
          <w:szCs w:val="24"/>
        </w:rPr>
        <w:t xml:space="preserve">Обсуждение Заказчиком предложений участников о функциональных характеристиках (потребительских свойствах) товаров, ка</w:t>
      </w:r>
      <w:r>
        <w:rPr>
          <w:sz w:val="24"/>
          <w:szCs w:val="24"/>
        </w:rPr>
        <w:t xml:space="preserve">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256"/>
      <w:r/>
      <w:bookmarkEnd w:id="257"/>
      <w:r/>
      <w:bookmarkEnd w:id="258"/>
      <w:r/>
      <w:bookmarkEnd w:id="259"/>
      <w:r/>
      <w:bookmarkEnd w:id="260"/>
      <w:r/>
      <w:bookmarkEnd w:id="261"/>
      <w:r/>
      <w:bookmarkEnd w:id="262"/>
      <w:r/>
      <w:bookmarkEnd w:id="263"/>
      <w:r/>
      <w:bookmarkEnd w:id="264"/>
      <w:r/>
      <w:bookmarkEnd w:id="265"/>
      <w:r/>
      <w:bookmarkEnd w:id="266"/>
      <w:r/>
      <w:bookmarkEnd w:id="267"/>
      <w:r/>
      <w:bookmarkEnd w:id="268"/>
      <w:r/>
      <w:bookmarkEnd w:id="269"/>
      <w:r/>
      <w:bookmarkEnd w:id="270"/>
      <w:r/>
      <w:bookmarkEnd w:id="271"/>
      <w:r/>
      <w:bookmarkEnd w:id="272"/>
      <w:r/>
      <w:bookmarkEnd w:id="273"/>
      <w:r/>
      <w:bookmarkEnd w:id="274"/>
      <w:r/>
      <w:bookmarkEnd w:id="275"/>
      <w:r/>
      <w:bookmarkEnd w:id="276"/>
      <w:r/>
      <w:bookmarkEnd w:id="277"/>
      <w:r/>
      <w:bookmarkEnd w:id="278"/>
      <w:r/>
      <w:bookmarkEnd w:id="279"/>
      <w:r/>
      <w:bookmarkEnd w:id="280"/>
      <w:r/>
      <w:bookmarkEnd w:id="281"/>
      <w:r/>
      <w:bookmarkEnd w:id="282"/>
      <w:r/>
      <w:bookmarkEnd w:id="283"/>
      <w:r/>
      <w:bookmarkEnd w:id="284"/>
      <w:r/>
      <w:bookmarkEnd w:id="285"/>
      <w:r/>
      <w:bookmarkEnd w:id="286"/>
      <w:r/>
      <w:bookmarkEnd w:id="287"/>
      <w:r/>
      <w:bookmarkEnd w:id="288"/>
      <w:r/>
      <w:bookmarkEnd w:id="289"/>
      <w:r/>
      <w:bookmarkEnd w:id="290"/>
      <w:r/>
      <w:bookmarkEnd w:id="291"/>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bookmarkStart w:id="292" w:name="_Ref535416231"/>
      <w:r>
        <w:rPr>
          <w:rFonts w:ascii="Times New Roman" w:hAnsi="Times New Roman" w:cs="Times New Roman"/>
          <w:b w:val="0"/>
          <w:bCs w:val="0"/>
        </w:rPr>
        <w:t xml:space="preserve">При проведении закупки Заказчик вправе принять решение о проведении такого этапа закупки как «обсуждение заказчиком предложений участников о функциональных характеристиках (потребительских свойствах) товаров, каче</w:t>
      </w:r>
      <w:r>
        <w:rPr>
          <w:rFonts w:ascii="Times New Roman" w:hAnsi="Times New Roman" w:cs="Times New Roman"/>
          <w:b w:val="0"/>
          <w:bCs w:val="0"/>
        </w:rPr>
        <w:t xml:space="preserve">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Pr>
          <w:rFonts w:ascii="Times New Roman" w:hAnsi="Times New Roman" w:cs="Times New Roman"/>
          <w:b w:val="0"/>
          <w:bCs w:val="0"/>
        </w:rPr>
        <w:t xml:space="preserve"> Информация о проведении такого этапа в рамках закупки указывается в пункте 7 части II «ИНФОРМАЦИОННАЯ КАРТА ЗАКУПКИ».</w:t>
      </w:r>
      <w:bookmarkEnd w:id="292"/>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Указанный в </w:t>
      </w:r>
      <w:r>
        <w:rPr>
          <w:rFonts w:ascii="Times New Roman" w:hAnsi="Times New Roman" w:cs="Times New Roman"/>
          <w:b w:val="0"/>
          <w:bCs w:val="0"/>
        </w:rPr>
        <w:t xml:space="preserve">пункте 6.2.1 настоящей документации о закупке этап закупки проводится в сроки, предусмотренные в пункте 8 части II «ИНФОРМАЦИОННАЯ КАРТА ЗАКУПКИ», но не позднее срока окончания подачи заявок на участие в закупке, в порядке предусмотренным Регламентом ЕЭТП.</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w:t>
      </w:r>
      <w:r>
        <w:rPr>
          <w:rFonts w:ascii="Times New Roman" w:hAnsi="Times New Roman" w:cs="Times New Roman"/>
          <w:b w:val="0"/>
          <w:bCs w:val="0"/>
        </w:rPr>
        <w:t xml:space="preserve">ных условиях исполнения договора, должно осуществляться с участниками закупки, подавшими заявку на участие в закупке, с учетом обеспечения равного доступа всех участников закупки,  к участию в этом обсуждении и соблюдения Заказчиком положений Федерального </w:t>
      </w:r>
      <w:hyperlink r:id="rId40" w:tooltip="consultantplus://offline/ref=D6F78F6F851C034ED1C7ABB4A68893F6BF7DE5685F5D9161D1FC60E77Cu8j8L" w:history="1">
        <w:r>
          <w:rPr>
            <w:rFonts w:ascii="Times New Roman" w:hAnsi="Times New Roman" w:cs="Times New Roman"/>
            <w:b w:val="0"/>
            <w:bCs w:val="0"/>
          </w:rPr>
          <w:t xml:space="preserve">закона</w:t>
        </w:r>
      </w:hyperlink>
      <w:r>
        <w:rPr>
          <w:rFonts w:ascii="Times New Roman" w:hAnsi="Times New Roman" w:cs="Times New Roman"/>
          <w:b w:val="0"/>
          <w:bCs w:val="0"/>
        </w:rPr>
        <w:t xml:space="preserve"> от 29 июля 2004 года № 98-ФЗ</w:t>
      </w:r>
      <w:r>
        <w:rPr>
          <w:rFonts w:ascii="Times New Roman" w:hAnsi="Times New Roman" w:cs="Times New Roman"/>
          <w:b w:val="0"/>
          <w:bCs w:val="0"/>
        </w:rPr>
        <w:t xml:space="preserve"> «О коммерческой тайне».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 результатам данного этапа закупки Заказчик составляет протокол, в котором </w:t>
      </w:r>
      <w:r>
        <w:rPr>
          <w:rFonts w:ascii="Times New Roman" w:hAnsi="Times New Roman" w:cs="Times New Roman"/>
          <w:b w:val="0"/>
          <w:bCs w:val="0"/>
        </w:rPr>
        <w:t xml:space="preserve">указывается</w:t>
      </w:r>
      <w:r>
        <w:rPr>
          <w:rFonts w:ascii="Times New Roman" w:hAnsi="Times New Roman" w:cs="Times New Roman"/>
          <w:b w:val="0"/>
          <w:bCs w:val="0"/>
        </w:rPr>
        <w:t xml:space="preserve">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размещает в ЕИС уточненное извещение о закупке и </w:t>
      </w:r>
      <w:r>
        <w:rPr>
          <w:rFonts w:ascii="Times New Roman" w:hAnsi="Times New Roman" w:cs="Times New Roman"/>
          <w:b w:val="0"/>
          <w:bCs w:val="0"/>
        </w:rPr>
        <w:t xml:space="preserve">документацию</w:t>
      </w:r>
      <w:r>
        <w:rPr>
          <w:rFonts w:ascii="Times New Roman" w:hAnsi="Times New Roman" w:cs="Times New Roman"/>
          <w:b w:val="0"/>
          <w:bCs w:val="0"/>
        </w:rPr>
        <w:t xml:space="preserve">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w:t>
      </w:r>
      <w:r>
        <w:rPr>
          <w:rFonts w:ascii="Times New Roman" w:hAnsi="Times New Roman" w:cs="Times New Roman"/>
          <w:b w:val="0"/>
          <w:bCs w:val="0"/>
        </w:rPr>
        <w:t xml:space="preserve">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В случае принятия з</w:t>
      </w:r>
      <w:r>
        <w:rPr>
          <w:rFonts w:ascii="Times New Roman" w:hAnsi="Times New Roman" w:cs="Times New Roman"/>
          <w:b w:val="0"/>
          <w:bCs w:val="0"/>
        </w:rPr>
        <w:t xml:space="preserve">аказчиком решения не вносить уточнения в извещение и конкурсную документацию, информация об этом решении указывается в протоколе, составляемом по результатам проведения данного этапа конкурса. При этом участники закупки не подают окончательные предложения.</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w:t>
      </w:r>
      <w:r>
        <w:rPr>
          <w:rFonts w:ascii="Times New Roman" w:hAnsi="Times New Roman" w:cs="Times New Roman"/>
          <w:b w:val="0"/>
          <w:bCs w:val="0"/>
        </w:rPr>
        <w:t xml:space="preserve">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w:t>
      </w:r>
      <w:r>
        <w:rPr>
          <w:color w:val="22272f"/>
          <w:sz w:val="23"/>
          <w:shd w:val="clear" w:color="auto" w:fill="ffffff"/>
        </w:rPr>
        <w:t xml:space="preserve"> </w:t>
      </w:r>
      <w:r>
        <w:rPr>
          <w:rFonts w:ascii="Times New Roman" w:hAnsi="Times New Roman" w:cs="Times New Roman"/>
          <w:b w:val="0"/>
          <w:bCs w:val="0"/>
        </w:rPr>
        <w:t xml:space="preserve">Подача окончательного предложения осуществляется в порядке, установленном для подачи заявки.</w:t>
      </w:r>
      <w:r>
        <w:rPr>
          <w:rFonts w:ascii="Times New Roman" w:hAnsi="Times New Roman" w:cs="Times New Roman"/>
          <w:b w:val="0"/>
          <w:bCs w:val="0"/>
        </w:rPr>
      </w:r>
    </w:p>
    <w:p>
      <w:pPr>
        <w:pStyle w:val="1118"/>
        <w:numPr>
          <w:ilvl w:val="2"/>
          <w:numId w:val="21"/>
        </w:numPr>
        <w:ind w:left="0" w:firstLine="567"/>
        <w:keepNext w:val="0"/>
        <w:spacing w:before="0" w:after="0"/>
        <w:widowControl w:val="off"/>
        <w:rPr>
          <w:rFonts w:ascii="Times New Roman" w:hAnsi="Times New Roman" w:cs="Times New Roman"/>
          <w:b w:val="0"/>
          <w:bCs w:val="0"/>
        </w:rPr>
      </w:pPr>
      <w:r>
        <w:rPr>
          <w:rFonts w:ascii="Times New Roman" w:hAnsi="Times New Roman" w:cs="Times New Roman"/>
          <w:b w:val="0"/>
          <w:bCs w:val="0"/>
        </w:rPr>
        <w:t xml:space="preserve">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r>
        <w:rPr>
          <w:rFonts w:ascii="Times New Roman" w:hAnsi="Times New Roman" w:cs="Times New Roman"/>
          <w:b w:val="0"/>
          <w:bCs w:val="0"/>
        </w:rPr>
      </w:r>
    </w:p>
    <w:p>
      <w:pPr>
        <w:widowControl w:val="off"/>
      </w:pPr>
      <w:r/>
      <w:r/>
    </w:p>
    <w:p>
      <w:pPr>
        <w:pStyle w:val="1117"/>
        <w:numPr>
          <w:ilvl w:val="1"/>
          <w:numId w:val="21"/>
        </w:numPr>
        <w:ind w:left="0" w:firstLine="567"/>
        <w:jc w:val="both"/>
        <w:keepNext w:val="0"/>
        <w:spacing w:after="120"/>
        <w:widowControl w:val="off"/>
        <w:rPr>
          <w:sz w:val="24"/>
          <w:szCs w:val="24"/>
        </w:rPr>
      </w:pPr>
      <w:r/>
      <w:bookmarkStart w:id="293" w:name="_Toc106094368"/>
      <w:r/>
      <w:bookmarkStart w:id="294" w:name="_Toc103849686"/>
      <w:r/>
      <w:bookmarkStart w:id="295" w:name="_Toc104378949"/>
      <w:r/>
      <w:bookmarkStart w:id="296" w:name="_Toc108512670"/>
      <w:r/>
      <w:bookmarkStart w:id="297" w:name="_Toc106788988"/>
      <w:r/>
      <w:bookmarkStart w:id="298" w:name="_Toc175583290"/>
      <w:r/>
      <w:bookmarkStart w:id="299" w:name="_Toc108612938"/>
      <w:r/>
      <w:bookmarkStart w:id="300" w:name="_Toc110854183"/>
      <w:r/>
      <w:bookmarkStart w:id="301" w:name="_Toc88823579"/>
      <w:r/>
      <w:bookmarkStart w:id="302" w:name="_Toc97464627"/>
      <w:r/>
      <w:bookmarkStart w:id="303" w:name="_Toc103175497"/>
      <w:r/>
      <w:bookmarkStart w:id="304" w:name="_Toc224649981"/>
      <w:r/>
      <w:bookmarkStart w:id="305" w:name="_Toc236307212"/>
      <w:r/>
      <w:bookmarkStart w:id="306" w:name="_Toc4578030"/>
      <w:r/>
      <w:bookmarkStart w:id="307" w:name="_Toc41402322"/>
      <w:r/>
      <w:bookmarkStart w:id="308" w:name="_Toc4590451"/>
      <w:r/>
      <w:bookmarkStart w:id="309" w:name="_Toc47961654"/>
      <w:r/>
      <w:bookmarkStart w:id="310" w:name="_Toc6913803"/>
      <w:r/>
      <w:bookmarkStart w:id="311" w:name="_Toc69112948"/>
      <w:r/>
      <w:bookmarkStart w:id="312" w:name="_Toc69376434"/>
      <w:r/>
      <w:bookmarkStart w:id="313" w:name="_Toc52445782"/>
      <w:r/>
      <w:bookmarkStart w:id="314" w:name="_Toc3204418"/>
      <w:r/>
      <w:bookmarkStart w:id="315" w:name="_Toc3555485"/>
      <w:r/>
      <w:bookmarkStart w:id="316" w:name="_Toc3810134"/>
      <w:r/>
      <w:bookmarkStart w:id="317" w:name="_Toc4075597"/>
      <w:r/>
      <w:bookmarkStart w:id="318" w:name="_Toc6299383"/>
      <w:r/>
      <w:bookmarkStart w:id="319" w:name="_Toc17735595"/>
      <w:r/>
      <w:bookmarkStart w:id="320" w:name="_Toc31963496"/>
      <w:r/>
      <w:bookmarkStart w:id="321" w:name="_Toc33084918"/>
      <w:r/>
      <w:bookmarkStart w:id="322" w:name="_Toc33539067"/>
      <w:r/>
      <w:bookmarkStart w:id="323" w:name="_Toc56503392"/>
      <w:r/>
      <w:bookmarkStart w:id="324" w:name="_Toc57630470"/>
      <w:r/>
      <w:bookmarkStart w:id="325" w:name="_Toc58242329"/>
      <w:r/>
      <w:bookmarkStart w:id="326" w:name="_Toc63765780"/>
      <w:r>
        <w:rPr>
          <w:sz w:val="24"/>
          <w:szCs w:val="24"/>
        </w:rPr>
        <w:t xml:space="preserve">Рассмотрение и оценка Заказчиком поданных участниками закупки заявок</w:t>
      </w:r>
      <w:bookmarkEnd w:id="293"/>
      <w:r/>
      <w:bookmarkEnd w:id="294"/>
      <w:r/>
      <w:bookmarkEnd w:id="295"/>
      <w:r/>
      <w:bookmarkEnd w:id="296"/>
      <w:r/>
      <w:bookmarkEnd w:id="297"/>
      <w:r/>
      <w:bookmarkEnd w:id="298"/>
      <w:r/>
      <w:bookmarkEnd w:id="299"/>
      <w:r/>
      <w:bookmarkEnd w:id="300"/>
      <w:r/>
      <w:bookmarkEnd w:id="301"/>
      <w:r/>
      <w:bookmarkEnd w:id="302"/>
      <w:r/>
      <w:bookmarkEnd w:id="303"/>
      <w:r/>
      <w:bookmarkEnd w:id="304"/>
      <w:r/>
      <w:bookmarkEnd w:id="305"/>
      <w:r>
        <w:rPr>
          <w:sz w:val="24"/>
          <w:szCs w:val="24"/>
        </w:rPr>
        <w:t xml:space="preserve"> </w:t>
      </w:r>
      <w:bookmarkEnd w:id="306"/>
      <w:r/>
      <w:bookmarkEnd w:id="307"/>
      <w:r/>
      <w:bookmarkEnd w:id="308"/>
      <w:r/>
      <w:bookmarkEnd w:id="309"/>
      <w:r/>
      <w:bookmarkEnd w:id="310"/>
      <w:r/>
      <w:bookmarkEnd w:id="311"/>
      <w:r/>
      <w:bookmarkEnd w:id="312"/>
      <w:r/>
      <w:bookmarkEnd w:id="313"/>
      <w:r/>
      <w:bookmarkEnd w:id="314"/>
      <w:r/>
      <w:bookmarkEnd w:id="315"/>
      <w:r/>
      <w:bookmarkEnd w:id="316"/>
      <w:r/>
      <w:bookmarkEnd w:id="317"/>
      <w:r/>
      <w:bookmarkEnd w:id="318"/>
      <w:r/>
      <w:bookmarkEnd w:id="319"/>
      <w:r/>
      <w:bookmarkEnd w:id="320"/>
      <w:r/>
      <w:bookmarkEnd w:id="321"/>
      <w:r/>
      <w:bookmarkEnd w:id="322"/>
      <w:r/>
      <w:bookmarkEnd w:id="323"/>
      <w:r/>
      <w:bookmarkEnd w:id="324"/>
      <w:r/>
      <w:bookmarkEnd w:id="325"/>
      <w:r/>
      <w:bookmarkEnd w:id="326"/>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Этап закупки</w:t>
      </w:r>
      <w:r>
        <w:rPr>
          <w:rFonts w:ascii="Times New Roman" w:hAnsi="Times New Roman" w:cs="Times New Roman"/>
          <w:b w:val="0"/>
          <w:bCs w:val="0"/>
        </w:rPr>
        <w:t xml:space="preserve"> «рассмотрение и оценка Заказчиком поданных участниками закупки заявок» проводится Заказчиком в срок, предусмотренный извещением и документацией о закупке (либо уточненным извещение и/или документацией о закупке), в порядке, установленном разделом 7 части </w:t>
      </w:r>
      <w:r>
        <w:rPr>
          <w:rFonts w:ascii="Times New Roman" w:hAnsi="Times New Roman" w:cs="Times New Roman"/>
          <w:b w:val="0"/>
          <w:bCs w:val="0"/>
          <w:lang w:val="en-US"/>
        </w:rPr>
        <w:t xml:space="preserve">I</w:t>
      </w:r>
      <w:r>
        <w:rPr>
          <w:rFonts w:ascii="Times New Roman" w:hAnsi="Times New Roman" w:cs="Times New Roman"/>
          <w:b w:val="0"/>
          <w:bCs w:val="0"/>
        </w:rPr>
        <w:t xml:space="preserve"> «ОБЩИЕ УСЛОВИЯ ПРОВЕДЕНИЯ ЗАКУПКИ».</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327" w:name="_Toc108512671"/>
      <w:r/>
      <w:bookmarkStart w:id="328" w:name="_Toc110854184"/>
      <w:r/>
      <w:bookmarkStart w:id="329" w:name="_Toc106094369"/>
      <w:r/>
      <w:bookmarkStart w:id="330" w:name="_Toc103849687"/>
      <w:r/>
      <w:bookmarkStart w:id="331" w:name="_Toc103175498"/>
      <w:r/>
      <w:bookmarkStart w:id="332" w:name="_Toc97464628"/>
      <w:r/>
      <w:bookmarkStart w:id="333" w:name="_Toc88823580"/>
      <w:r/>
      <w:bookmarkStart w:id="334" w:name="_Toc108612939"/>
      <w:r/>
      <w:bookmarkStart w:id="335" w:name="_Toc175583291"/>
      <w:r/>
      <w:bookmarkStart w:id="336" w:name="_Toc106788989"/>
      <w:r/>
      <w:bookmarkStart w:id="337" w:name="_Toc104378950"/>
      <w:r/>
      <w:bookmarkStart w:id="338" w:name="_Toc224649982"/>
      <w:r/>
      <w:bookmarkStart w:id="339" w:name="_Toc236307213"/>
      <w:r/>
      <w:bookmarkStart w:id="340" w:name="_Toc57630472"/>
      <w:r/>
      <w:bookmarkStart w:id="341" w:name="_Toc52445784"/>
      <w:r/>
      <w:bookmarkStart w:id="342" w:name="_Toc47961656"/>
      <w:r/>
      <w:bookmarkStart w:id="343" w:name="_Toc63765782"/>
      <w:r/>
      <w:bookmarkStart w:id="344" w:name="_Toc3810136"/>
      <w:r/>
      <w:bookmarkStart w:id="345" w:name="_Toc69112950"/>
      <w:r/>
      <w:bookmarkStart w:id="346" w:name="_Toc4075599"/>
      <w:r/>
      <w:bookmarkStart w:id="347" w:name="_Toc3204420"/>
      <w:r/>
      <w:bookmarkStart w:id="348" w:name="_Toc58242331"/>
      <w:r/>
      <w:bookmarkStart w:id="349" w:name="_Toc3555487"/>
      <w:r/>
      <w:bookmarkStart w:id="350" w:name="_Toc41402324"/>
      <w:r/>
      <w:bookmarkStart w:id="351" w:name="_Toc33084920"/>
      <w:r/>
      <w:bookmarkStart w:id="352" w:name="_Toc31963498"/>
      <w:r/>
      <w:bookmarkStart w:id="353" w:name="_Toc6299385"/>
      <w:r/>
      <w:bookmarkStart w:id="354" w:name="_Toc6913805"/>
      <w:r/>
      <w:bookmarkStart w:id="355" w:name="_Toc69376436"/>
      <w:r/>
      <w:bookmarkStart w:id="356" w:name="_Toc4578032"/>
      <w:r/>
      <w:bookmarkStart w:id="357" w:name="_Toc56503394"/>
      <w:r/>
      <w:bookmarkStart w:id="358" w:name="_Toc33539069"/>
      <w:r/>
      <w:bookmarkStart w:id="359" w:name="_Toc4590453"/>
      <w:r/>
      <w:bookmarkStart w:id="360" w:name="_Toc17735597"/>
      <w:r>
        <w:rPr>
          <w:sz w:val="24"/>
          <w:szCs w:val="24"/>
        </w:rPr>
        <w:t xml:space="preserve">Сопоставление дополнительных ценовых предложений участников о снижении цены договора</w:t>
      </w:r>
      <w:bookmarkEnd w:id="327"/>
      <w:r/>
      <w:bookmarkEnd w:id="328"/>
      <w:r/>
      <w:bookmarkEnd w:id="329"/>
      <w:r/>
      <w:bookmarkEnd w:id="330"/>
      <w:r/>
      <w:bookmarkEnd w:id="331"/>
      <w:r/>
      <w:bookmarkEnd w:id="332"/>
      <w:r/>
      <w:bookmarkEnd w:id="333"/>
      <w:r/>
      <w:bookmarkEnd w:id="334"/>
      <w:r/>
      <w:bookmarkEnd w:id="335"/>
      <w:r/>
      <w:bookmarkEnd w:id="336"/>
      <w:r/>
      <w:bookmarkEnd w:id="337"/>
      <w:r/>
      <w:bookmarkEnd w:id="338"/>
      <w:r/>
      <w:bookmarkEnd w:id="339"/>
      <w:r>
        <w:rPr>
          <w:sz w:val="24"/>
          <w:szCs w:val="24"/>
        </w:rPr>
        <w:t xml:space="preserve"> </w:t>
      </w:r>
      <w:bookmarkEnd w:id="340"/>
      <w:r/>
      <w:bookmarkEnd w:id="341"/>
      <w:r/>
      <w:bookmarkEnd w:id="342"/>
      <w:r/>
      <w:bookmarkEnd w:id="343"/>
      <w:r/>
      <w:bookmarkEnd w:id="344"/>
      <w:r/>
      <w:bookmarkEnd w:id="345"/>
      <w:r/>
      <w:bookmarkEnd w:id="346"/>
      <w:r/>
      <w:bookmarkEnd w:id="347"/>
      <w:r/>
      <w:bookmarkEnd w:id="348"/>
      <w:r/>
      <w:bookmarkEnd w:id="349"/>
      <w:r/>
      <w:bookmarkEnd w:id="350"/>
      <w:r/>
      <w:bookmarkEnd w:id="351"/>
      <w:r/>
      <w:bookmarkEnd w:id="352"/>
      <w:r/>
      <w:bookmarkEnd w:id="353"/>
      <w:r/>
      <w:bookmarkEnd w:id="354"/>
      <w:r/>
      <w:bookmarkEnd w:id="355"/>
      <w:r/>
      <w:bookmarkEnd w:id="356"/>
      <w:r/>
      <w:bookmarkEnd w:id="357"/>
      <w:r/>
      <w:bookmarkEnd w:id="358"/>
      <w:r/>
      <w:bookmarkEnd w:id="359"/>
      <w:r/>
      <w:bookmarkEnd w:id="360"/>
      <w:r/>
      <w:r>
        <w:rPr>
          <w:sz w:val="24"/>
          <w:szCs w:val="24"/>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При проведен</w:t>
      </w:r>
      <w:r>
        <w:rPr>
          <w:rFonts w:ascii="Times New Roman" w:hAnsi="Times New Roman" w:cs="Times New Roman"/>
          <w:b w:val="0"/>
          <w:bCs w:val="0"/>
        </w:rPr>
        <w:t xml:space="preserve">ии закупки Заказчик вправе принять решение о проведении такого этапа закупки как «сопоставление дополнительных ценовых предложений участников о снижении цены договора». Информация о проведении такого этапа в рамках закупки указывается в пункте 7 части II «</w:t>
      </w:r>
      <w:r>
        <w:rPr>
          <w:rFonts w:ascii="Times New Roman" w:hAnsi="Times New Roman" w:cs="Times New Roman"/>
          <w:b w:val="0"/>
          <w:bCs w:val="0"/>
        </w:rPr>
        <w:t xml:space="preserve">ИНФОРМАЦИОННАЯ КАРТА ЗАКУПКИ». В случае если начальная (максимальная) цена договора составляет 5 (пять) и более миллионов рублей, этап «сопоставление дополнительных ценовых предложений участников о снижении цены договора» включается в обязательном порядке.</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Проведение этапа сопоставления дополнительных ценовых предложений участников осуществляется оператором ЕЭТП в порядке, установленном Регламентом работы ЕЭТП.</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Подача дополнительных ценовых предложений проводится </w:t>
      </w:r>
      <w:r>
        <w:rPr>
          <w:rFonts w:ascii="Times New Roman" w:hAnsi="Times New Roman" w:cs="Times New Roman"/>
          <w:b w:val="0"/>
          <w:bCs w:val="0"/>
        </w:rPr>
        <w:t xml:space="preserve">на электронной площадке в день, указанный в пункте 8 части II «ИНФОРМАЦИОННАЯ КАРТА ЗАКУПКИ». Информация о времени начала проведения указанного этапа размещается оператором ЕЭТП в ЕИС в соответствии со временем часовой зоны, в которой расположен заказчик. </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 программно-аппаратных средств ЕЭТП.</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Участники закупки вправе подать на ЕЭТП одно дополнительное ценовое предложение, которое должно быть ниже ценового предложения, поданного ими ранее</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r>
        <w:rPr>
          <w:rFonts w:ascii="Times New Roman" w:hAnsi="Times New Roman" w:cs="Times New Roman"/>
          <w:b w:val="0"/>
          <w:bCs w:val="0"/>
        </w:rPr>
      </w:r>
    </w:p>
    <w:p>
      <w:pPr>
        <w:pStyle w:val="1118"/>
        <w:numPr>
          <w:ilvl w:val="2"/>
          <w:numId w:val="21"/>
        </w:numPr>
        <w:ind w:left="0" w:firstLine="567"/>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Результаты осуществленного оператором ЕЭТ</w:t>
      </w:r>
      <w:r>
        <w:rPr>
          <w:rFonts w:ascii="Times New Roman" w:hAnsi="Times New Roman" w:cs="Times New Roman"/>
          <w:b w:val="0"/>
          <w:bCs w:val="0"/>
        </w:rPr>
        <w:t xml:space="preserve">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закупки направляются оператором ЕЭТП Заказчику в установленном Законом 223-ФЗ порядке.</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361" w:name="_Toc110854185"/>
      <w:r/>
      <w:bookmarkStart w:id="362" w:name="_Toc108612940"/>
      <w:r/>
      <w:bookmarkStart w:id="363" w:name="_Toc108512672"/>
      <w:r/>
      <w:bookmarkStart w:id="364" w:name="_Toc98146357"/>
      <w:r/>
      <w:bookmarkStart w:id="365" w:name="_Toc94093379"/>
      <w:r/>
      <w:bookmarkStart w:id="366" w:name="_Toc92711365"/>
      <w:r/>
      <w:bookmarkStart w:id="367" w:name="_Toc90639295"/>
      <w:r/>
      <w:bookmarkStart w:id="368" w:name="_Toc175583292"/>
      <w:r/>
      <w:bookmarkStart w:id="369" w:name="_Toc224649983"/>
      <w:r/>
      <w:bookmarkStart w:id="370" w:name="_Toc236307214"/>
      <w:r>
        <w:rPr>
          <w:sz w:val="24"/>
          <w:szCs w:val="24"/>
        </w:rPr>
        <w:t xml:space="preserve">Одновременное включение в конкурс в электронной форме этапов, предусмотренных пунктами 6.1 и 6.2, не допускается.</w:t>
      </w:r>
      <w:bookmarkStart w:id="371" w:name="_Toc108612941"/>
      <w:r/>
      <w:bookmarkStart w:id="372" w:name="_Toc110854186"/>
      <w:r/>
      <w:bookmarkStart w:id="373" w:name="_Toc108512673"/>
      <w:r/>
      <w:bookmarkStart w:id="374" w:name="_Toc175583293"/>
      <w:r/>
      <w:bookmarkEnd w:id="361"/>
      <w:r/>
      <w:bookmarkEnd w:id="362"/>
      <w:r/>
      <w:bookmarkEnd w:id="363"/>
      <w:r/>
      <w:bookmarkEnd w:id="364"/>
      <w:r/>
      <w:bookmarkEnd w:id="365"/>
      <w:r/>
      <w:bookmarkEnd w:id="366"/>
      <w:r/>
      <w:bookmarkEnd w:id="367"/>
      <w:r/>
      <w:bookmarkEnd w:id="368"/>
      <w:r/>
      <w:bookmarkEnd w:id="369"/>
      <w:r/>
      <w:bookmarkEnd w:id="370"/>
      <w:r/>
      <w:r>
        <w:rPr>
          <w:sz w:val="24"/>
          <w:szCs w:val="24"/>
        </w:rPr>
      </w:r>
    </w:p>
    <w:p>
      <w:pPr>
        <w:pStyle w:val="1117"/>
        <w:numPr>
          <w:ilvl w:val="1"/>
          <w:numId w:val="21"/>
        </w:numPr>
        <w:ind w:left="0" w:firstLine="567"/>
        <w:jc w:val="both"/>
        <w:keepNext w:val="0"/>
        <w:spacing w:after="120"/>
        <w:widowControl w:val="off"/>
        <w:rPr>
          <w:sz w:val="24"/>
          <w:szCs w:val="24"/>
        </w:rPr>
      </w:pPr>
      <w:r/>
      <w:bookmarkStart w:id="375" w:name="_Toc224649984"/>
      <w:r/>
      <w:bookmarkStart w:id="376" w:name="_Toc236307215"/>
      <w:r>
        <w:rPr>
          <w:sz w:val="24"/>
          <w:szCs w:val="24"/>
        </w:rPr>
        <w:t xml:space="preserve">Каждый этап конкурса в электронной форме может быть включен в него однократно.</w:t>
      </w:r>
      <w:bookmarkEnd w:id="371"/>
      <w:r/>
      <w:bookmarkEnd w:id="372"/>
      <w:r/>
      <w:bookmarkEnd w:id="373"/>
      <w:r/>
      <w:bookmarkEnd w:id="374"/>
      <w:r/>
      <w:bookmarkEnd w:id="375"/>
      <w:r/>
      <w:bookmarkEnd w:id="376"/>
      <w:r/>
      <w:r>
        <w:rPr>
          <w:sz w:val="24"/>
          <w:szCs w:val="24"/>
        </w:rPr>
      </w:r>
    </w:p>
    <w:p>
      <w:pPr>
        <w:ind w:firstLine="567"/>
        <w:widowControl w:val="off"/>
      </w:pPr>
      <w:r/>
      <w:r/>
    </w:p>
    <w:p>
      <w:pPr>
        <w:pStyle w:val="1116"/>
        <w:numPr>
          <w:ilvl w:val="0"/>
          <w:numId w:val="21"/>
        </w:numPr>
        <w:ind w:left="0" w:firstLine="567"/>
        <w:jc w:val="both"/>
        <w:keepNext w:val="0"/>
        <w:spacing w:before="0" w:after="120"/>
        <w:widowControl w:val="off"/>
        <w:rPr>
          <w:sz w:val="24"/>
          <w:szCs w:val="24"/>
        </w:rPr>
      </w:pPr>
      <w:r/>
      <w:bookmarkStart w:id="377" w:name="_Ref119430360"/>
      <w:r/>
      <w:bookmarkStart w:id="378" w:name="_Toc123405483"/>
      <w:r/>
      <w:bookmarkStart w:id="379" w:name="_Toc175583294"/>
      <w:r/>
      <w:bookmarkStart w:id="380" w:name="_Toc224649985"/>
      <w:r/>
      <w:bookmarkStart w:id="381" w:name="_Toc236307216"/>
      <w:r/>
      <w:bookmarkEnd w:id="377"/>
      <w:r/>
      <w:bookmarkEnd w:id="378"/>
      <w:r>
        <w:rPr>
          <w:sz w:val="24"/>
          <w:szCs w:val="24"/>
        </w:rPr>
        <w:t xml:space="preserve">ПОРЯДОК ПРОВЕДЕНИЯ РАССМОТРЕНИЯ, ОЦЕНКИ И СОПОСТАВЛЕНИЯ ЗАЯВОК НА УЧАСТИЕ В ЗАКУПКЕ</w:t>
      </w:r>
      <w:bookmarkEnd w:id="379"/>
      <w:r/>
      <w:bookmarkEnd w:id="380"/>
      <w:r/>
      <w:bookmarkEnd w:id="381"/>
      <w:r/>
      <w:r>
        <w:rPr>
          <w:sz w:val="24"/>
          <w:szCs w:val="24"/>
        </w:rPr>
      </w:r>
    </w:p>
    <w:p>
      <w:pPr>
        <w:pStyle w:val="1117"/>
        <w:numPr>
          <w:ilvl w:val="1"/>
          <w:numId w:val="21"/>
        </w:numPr>
        <w:ind w:left="0" w:firstLine="567"/>
        <w:jc w:val="both"/>
        <w:keepNext w:val="0"/>
        <w:spacing w:after="120"/>
        <w:widowControl w:val="off"/>
        <w:rPr>
          <w:sz w:val="24"/>
          <w:szCs w:val="24"/>
        </w:rPr>
      </w:pPr>
      <w:r/>
      <w:bookmarkStart w:id="382" w:name="_Toc123405483_Копия_1"/>
      <w:r/>
      <w:bookmarkStart w:id="383" w:name="_Ref119430360_Копия_1"/>
      <w:r/>
      <w:bookmarkStart w:id="384" w:name="_Toc518119388"/>
      <w:r/>
      <w:bookmarkStart w:id="385" w:name="_Ref125827199"/>
      <w:r/>
      <w:bookmarkStart w:id="386" w:name="_Toc97464631"/>
      <w:r/>
      <w:bookmarkStart w:id="387" w:name="_Toc103175501"/>
      <w:r/>
      <w:bookmarkStart w:id="388" w:name="_Toc103849690"/>
      <w:r/>
      <w:bookmarkStart w:id="389" w:name="_Toc104378953"/>
      <w:r/>
      <w:bookmarkStart w:id="390" w:name="_Toc106094372"/>
      <w:r/>
      <w:bookmarkStart w:id="391" w:name="_Toc108512675"/>
      <w:r/>
      <w:bookmarkStart w:id="392" w:name="_Toc106788992"/>
      <w:r/>
      <w:bookmarkStart w:id="393" w:name="_Toc3204423"/>
      <w:r/>
      <w:bookmarkStart w:id="394" w:name="_Toc69112953"/>
      <w:r/>
      <w:bookmarkStart w:id="395" w:name="_Toc63765785"/>
      <w:r/>
      <w:bookmarkStart w:id="396" w:name="_Toc175583295"/>
      <w:r/>
      <w:bookmarkStart w:id="397" w:name="_Toc110854188"/>
      <w:r/>
      <w:bookmarkStart w:id="398" w:name="_Toc108612943"/>
      <w:r/>
      <w:bookmarkStart w:id="399" w:name="_Toc3555490"/>
      <w:r/>
      <w:bookmarkStart w:id="400" w:name="_Toc88823583"/>
      <w:r/>
      <w:bookmarkStart w:id="401" w:name="_Toc89083622"/>
      <w:r/>
      <w:bookmarkStart w:id="402" w:name="_Toc6299388"/>
      <w:r/>
      <w:bookmarkStart w:id="403" w:name="_Toc4590456"/>
      <w:r/>
      <w:bookmarkStart w:id="404" w:name="_Toc4578035"/>
      <w:r/>
      <w:bookmarkStart w:id="405" w:name="_Toc4075602"/>
      <w:r/>
      <w:bookmarkStart w:id="406" w:name="_Toc17735600"/>
      <w:r/>
      <w:bookmarkStart w:id="407" w:name="_Toc6913808"/>
      <w:r/>
      <w:bookmarkStart w:id="408" w:name="_Toc31963501"/>
      <w:r/>
      <w:bookmarkStart w:id="409" w:name="_Toc33084923"/>
      <w:r/>
      <w:bookmarkStart w:id="410" w:name="_Toc33539072"/>
      <w:r/>
      <w:bookmarkStart w:id="411" w:name="_Toc47961659"/>
      <w:r/>
      <w:bookmarkStart w:id="412" w:name="_Toc41402327"/>
      <w:r/>
      <w:bookmarkStart w:id="413" w:name="_Toc78270662"/>
      <w:r/>
      <w:bookmarkStart w:id="414" w:name="_Toc69376439"/>
      <w:r/>
      <w:bookmarkStart w:id="415" w:name="_Toc3810139"/>
      <w:r/>
      <w:bookmarkStart w:id="416" w:name="_Toc58242334"/>
      <w:r/>
      <w:bookmarkStart w:id="417" w:name="_Toc57630475"/>
      <w:r/>
      <w:bookmarkStart w:id="418" w:name="_Toc56503397"/>
      <w:r/>
      <w:bookmarkStart w:id="419" w:name="_Toc52445787"/>
      <w:r/>
      <w:bookmarkStart w:id="420" w:name="_Toc224649986"/>
      <w:r/>
      <w:bookmarkStart w:id="421" w:name="_Toc236307217"/>
      <w:r/>
      <w:bookmarkEnd w:id="382"/>
      <w:r/>
      <w:bookmarkEnd w:id="383"/>
      <w:r/>
      <w:bookmarkEnd w:id="384"/>
      <w:r/>
      <w:bookmarkEnd w:id="385"/>
      <w:r>
        <w:rPr>
          <w:sz w:val="24"/>
          <w:szCs w:val="24"/>
        </w:rPr>
        <w:t xml:space="preserve">Закупочная комиссия</w:t>
      </w:r>
      <w:bookmarkEnd w:id="386"/>
      <w:r/>
      <w:bookmarkEnd w:id="387"/>
      <w:r/>
      <w:bookmarkEnd w:id="388"/>
      <w:r/>
      <w:bookmarkEnd w:id="389"/>
      <w:r/>
      <w:bookmarkEnd w:id="390"/>
      <w:r/>
      <w:bookmarkEnd w:id="391"/>
      <w:r/>
      <w:bookmarkEnd w:id="392"/>
      <w:r/>
      <w:bookmarkEnd w:id="393"/>
      <w:r/>
      <w:bookmarkEnd w:id="394"/>
      <w:r/>
      <w:bookmarkEnd w:id="395"/>
      <w:r/>
      <w:bookmarkEnd w:id="396"/>
      <w:r/>
      <w:bookmarkEnd w:id="397"/>
      <w:r/>
      <w:bookmarkEnd w:id="398"/>
      <w:r/>
      <w:bookmarkEnd w:id="399"/>
      <w:r/>
      <w:bookmarkEnd w:id="400"/>
      <w:r/>
      <w:bookmarkEnd w:id="401"/>
      <w:r/>
      <w:bookmarkEnd w:id="402"/>
      <w:r/>
      <w:bookmarkEnd w:id="403"/>
      <w:r/>
      <w:bookmarkEnd w:id="404"/>
      <w:r/>
      <w:bookmarkEnd w:id="405"/>
      <w:r/>
      <w:bookmarkEnd w:id="406"/>
      <w:r/>
      <w:bookmarkEnd w:id="407"/>
      <w:r/>
      <w:bookmarkEnd w:id="408"/>
      <w:r/>
      <w:bookmarkEnd w:id="409"/>
      <w:r/>
      <w:bookmarkEnd w:id="410"/>
      <w:r/>
      <w:bookmarkEnd w:id="411"/>
      <w:r/>
      <w:bookmarkEnd w:id="412"/>
      <w:r/>
      <w:bookmarkEnd w:id="413"/>
      <w:r/>
      <w:bookmarkEnd w:id="414"/>
      <w:r/>
      <w:bookmarkEnd w:id="415"/>
      <w:r/>
      <w:bookmarkEnd w:id="416"/>
      <w:r/>
      <w:bookmarkEnd w:id="417"/>
      <w:r/>
      <w:bookmarkEnd w:id="418"/>
      <w:r/>
      <w:bookmarkEnd w:id="419"/>
      <w:r/>
      <w:bookmarkEnd w:id="420"/>
      <w:r/>
      <w:bookmarkEnd w:id="421"/>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Рассмотрение, оценка и сопоставления заявок осуществляется Закупочной комиссией, осуществляющей свои полномочия в порядке, установленном Положением о закупке Заказчика.</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422" w:name="_Toc97464632"/>
      <w:r/>
      <w:bookmarkStart w:id="423" w:name="_Toc89083623"/>
      <w:r/>
      <w:bookmarkStart w:id="424" w:name="_Toc88823584"/>
      <w:r/>
      <w:bookmarkStart w:id="425" w:name="_Toc78270663"/>
      <w:r/>
      <w:bookmarkStart w:id="426" w:name="_Toc69376440"/>
      <w:r/>
      <w:bookmarkStart w:id="427" w:name="_Toc69112954"/>
      <w:r/>
      <w:bookmarkStart w:id="428" w:name="_Toc103849691"/>
      <w:r/>
      <w:bookmarkStart w:id="429" w:name="_Toc103175502"/>
      <w:r/>
      <w:bookmarkStart w:id="430" w:name="_Toc106094373"/>
      <w:r/>
      <w:bookmarkStart w:id="431" w:name="_Toc104378954"/>
      <w:r/>
      <w:bookmarkStart w:id="432" w:name="_Toc175583296"/>
      <w:r/>
      <w:bookmarkStart w:id="433" w:name="_Toc110854189"/>
      <w:r/>
      <w:bookmarkStart w:id="434" w:name="_Toc108612944"/>
      <w:r/>
      <w:bookmarkStart w:id="435" w:name="_Toc108512676"/>
      <w:r/>
      <w:bookmarkStart w:id="436" w:name="_Toc106788993"/>
      <w:r/>
      <w:bookmarkStart w:id="437" w:name="_Toc58242335"/>
      <w:r/>
      <w:bookmarkStart w:id="438" w:name="_Toc63765786"/>
      <w:r/>
      <w:bookmarkStart w:id="439" w:name="_Toc3204424"/>
      <w:r/>
      <w:bookmarkStart w:id="440" w:name="_Toc6299389"/>
      <w:r/>
      <w:bookmarkStart w:id="441" w:name="_Toc4590457"/>
      <w:r/>
      <w:bookmarkStart w:id="442" w:name="_Toc4578036"/>
      <w:r/>
      <w:bookmarkStart w:id="443" w:name="_Toc4075603"/>
      <w:r/>
      <w:bookmarkStart w:id="444" w:name="_Toc3810140"/>
      <w:r/>
      <w:bookmarkStart w:id="445" w:name="_Toc3555491"/>
      <w:r/>
      <w:bookmarkStart w:id="446" w:name="_Toc17735601"/>
      <w:r/>
      <w:bookmarkStart w:id="447" w:name="_Toc6913809"/>
      <w:r/>
      <w:bookmarkStart w:id="448" w:name="_Toc33084924"/>
      <w:r/>
      <w:bookmarkStart w:id="449" w:name="_Toc31963502"/>
      <w:r/>
      <w:bookmarkStart w:id="450" w:name="_Toc57630476"/>
      <w:r/>
      <w:bookmarkStart w:id="451" w:name="_Toc56503398"/>
      <w:r/>
      <w:bookmarkStart w:id="452" w:name="_Toc52445788"/>
      <w:r/>
      <w:bookmarkStart w:id="453" w:name="_Toc47961660"/>
      <w:r/>
      <w:bookmarkStart w:id="454" w:name="_Toc41402328"/>
      <w:r/>
      <w:bookmarkStart w:id="455" w:name="_Toc33539073"/>
      <w:r/>
      <w:bookmarkStart w:id="456" w:name="_Toc224649987"/>
      <w:r/>
      <w:bookmarkStart w:id="457" w:name="_Toc236307218"/>
      <w:r>
        <w:rPr>
          <w:sz w:val="24"/>
          <w:szCs w:val="24"/>
        </w:rPr>
        <w:t xml:space="preserve">Требования к процедуре рассмотрения, оценки и сопоставления заявок участников закупки</w:t>
      </w:r>
      <w:bookmarkEnd w:id="422"/>
      <w:r/>
      <w:bookmarkEnd w:id="423"/>
      <w:r/>
      <w:bookmarkEnd w:id="424"/>
      <w:r/>
      <w:bookmarkEnd w:id="425"/>
      <w:r/>
      <w:bookmarkEnd w:id="426"/>
      <w:r/>
      <w:bookmarkEnd w:id="427"/>
      <w:r/>
      <w:bookmarkEnd w:id="428"/>
      <w:r/>
      <w:bookmarkEnd w:id="429"/>
      <w:r/>
      <w:bookmarkEnd w:id="430"/>
      <w:r/>
      <w:bookmarkEnd w:id="431"/>
      <w:r/>
      <w:bookmarkEnd w:id="432"/>
      <w:r/>
      <w:bookmarkEnd w:id="433"/>
      <w:r/>
      <w:bookmarkEnd w:id="434"/>
      <w:r/>
      <w:bookmarkEnd w:id="435"/>
      <w:r/>
      <w:bookmarkEnd w:id="436"/>
      <w:r/>
      <w:bookmarkEnd w:id="437"/>
      <w:r/>
      <w:bookmarkEnd w:id="438"/>
      <w:r/>
      <w:bookmarkEnd w:id="439"/>
      <w:r/>
      <w:bookmarkEnd w:id="440"/>
      <w:r/>
      <w:bookmarkEnd w:id="441"/>
      <w:r/>
      <w:bookmarkEnd w:id="442"/>
      <w:r/>
      <w:bookmarkEnd w:id="443"/>
      <w:r/>
      <w:bookmarkEnd w:id="444"/>
      <w:r/>
      <w:bookmarkEnd w:id="445"/>
      <w:r/>
      <w:bookmarkEnd w:id="446"/>
      <w:r/>
      <w:bookmarkEnd w:id="447"/>
      <w:r/>
      <w:bookmarkEnd w:id="448"/>
      <w:r/>
      <w:bookmarkEnd w:id="449"/>
      <w:r/>
      <w:bookmarkEnd w:id="450"/>
      <w:r/>
      <w:bookmarkEnd w:id="451"/>
      <w:r/>
      <w:bookmarkEnd w:id="452"/>
      <w:r/>
      <w:bookmarkEnd w:id="453"/>
      <w:r/>
      <w:bookmarkEnd w:id="454"/>
      <w:r/>
      <w:bookmarkEnd w:id="455"/>
      <w:r/>
      <w:bookmarkEnd w:id="456"/>
      <w:r/>
      <w:bookmarkEnd w:id="457"/>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Заявки участников рассматриваются в соответствии с требованиями, критериями и порядком оценки заявок, устанавливаемыми в документации о закупке, на основании пр</w:t>
      </w:r>
      <w:r>
        <w:rPr>
          <w:rFonts w:ascii="Times New Roman" w:hAnsi="Times New Roman" w:cs="Times New Roman"/>
          <w:b w:val="0"/>
          <w:bCs w:val="0"/>
        </w:rPr>
        <w:t xml:space="preserve">едставленных в составе заявок информации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w:t>
      </w:r>
      <w:r>
        <w:rPr>
          <w:rFonts w:ascii="Times New Roman" w:hAnsi="Times New Roman" w:cs="Times New Roman"/>
          <w:b w:val="0"/>
          <w:bCs w:val="0"/>
        </w:rPr>
        <w:t xml:space="preserve">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w:t>
      </w:r>
      <w:r>
        <w:rPr>
          <w:rFonts w:ascii="Times New Roman" w:hAnsi="Times New Roman" w:cs="Times New Roman"/>
          <w:b w:val="0"/>
          <w:bCs w:val="0"/>
        </w:rPr>
        <w:t xml:space="preserve">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Закупочная комиссия отклоняет заявку участника в случаях, если:</w:t>
      </w:r>
      <w:r>
        <w:rPr>
          <w:rFonts w:ascii="Times New Roman" w:hAnsi="Times New Roman" w:cs="Times New Roman"/>
          <w:b w:val="0"/>
          <w:bCs w:val="0"/>
        </w:rPr>
      </w:r>
    </w:p>
    <w:p>
      <w:pPr>
        <w:pStyle w:val="1352"/>
        <w:numPr>
          <w:ilvl w:val="0"/>
          <w:numId w:val="37"/>
        </w:numPr>
        <w:ind w:left="1418" w:hanging="709"/>
        <w:jc w:val="both"/>
        <w:spacing w:after="120"/>
        <w:widowControl w:val="off"/>
      </w:pPr>
      <w:r>
        <w:t xml:space="preserve">участник не соответствует требованиям к участнику закупки, установленным документацией о закупке, в том </w:t>
      </w:r>
      <w:r>
        <w:t xml:space="preserve">числе</w:t>
      </w:r>
      <w:r>
        <w:t xml:space="preserve"> если сведения об участнике закупки или привлекаемом участником закупки субподрядчике (соисполнителе) из числа субъектов МСП (в случае установления требования о привлечении такого субподрядчика (соисполнителя) в докум</w:t>
      </w:r>
      <w:r>
        <w:t xml:space="preserve">ентации о закупке) отсутствуют в едином реестре субъектов МСП или на официальном сайте ФНС России отсутствует информация о применении участником закупки, субподрядчиком (соисполнителем) МСП, специального налогового режима «Налог на профессиональный доход»;</w:t>
      </w:r>
      <w:r/>
    </w:p>
    <w:p>
      <w:pPr>
        <w:pStyle w:val="1352"/>
        <w:numPr>
          <w:ilvl w:val="0"/>
          <w:numId w:val="37"/>
        </w:numPr>
        <w:ind w:left="1418" w:hanging="709"/>
        <w:jc w:val="both"/>
        <w:spacing w:after="120"/>
        <w:widowControl w:val="off"/>
      </w:pPr>
      <w:r>
        <w:t xml:space="preserve">заявка участника не соответствует требованиям, </w:t>
      </w:r>
      <w:r>
        <w:t xml:space="preserve">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p>
    <w:p>
      <w:pPr>
        <w:pStyle w:val="1352"/>
        <w:numPr>
          <w:ilvl w:val="0"/>
          <w:numId w:val="37"/>
        </w:numPr>
        <w:ind w:left="1418" w:hanging="709"/>
        <w:jc w:val="both"/>
        <w:spacing w:after="120"/>
        <w:widowControl w:val="off"/>
      </w:pPr>
      <w:r>
        <w:t xml:space="preserve">участник закупки предоставил недостоверную информацию (сведения) в отношении своего соответствия требованиям, установленным документацией о закупке;</w:t>
      </w:r>
      <w:r/>
    </w:p>
    <w:p>
      <w:pPr>
        <w:pStyle w:val="1352"/>
        <w:numPr>
          <w:ilvl w:val="0"/>
          <w:numId w:val="37"/>
        </w:numPr>
        <w:ind w:left="1418" w:hanging="709"/>
        <w:jc w:val="both"/>
        <w:spacing w:after="120"/>
        <w:widowControl w:val="off"/>
      </w:pPr>
      <w:r>
        <w:t xml:space="preserve">по основаниям, предусмотренным п.1.7.10 документации о закупке.</w:t>
      </w: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w:t>
      </w:r>
      <w:r>
        <w:rPr>
          <w:rFonts w:ascii="Times New Roman" w:hAnsi="Times New Roman" w:cs="Times New Roman"/>
          <w:b w:val="0"/>
          <w:bCs w:val="0"/>
        </w:rPr>
        <w:t xml:space="preserve">,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(включая, </w:t>
      </w:r>
      <w:r>
        <w:rPr>
          <w:rFonts w:ascii="Times New Roman" w:hAnsi="Times New Roman" w:cs="Times New Roman"/>
          <w:b w:val="0"/>
          <w:bCs w:val="0"/>
        </w:rPr>
        <w:t xml:space="preserve">но</w:t>
      </w:r>
      <w:r>
        <w:rPr>
          <w:rFonts w:ascii="Times New Roman" w:hAnsi="Times New Roman" w:cs="Times New Roman"/>
          <w:b w:val="0"/>
          <w:bCs w:val="0"/>
        </w:rPr>
        <w:t xml:space="preserve"> не ограничиваясь: изменены реквизиты юридического лица, полномочия должностного лица, которому выдан сертификат ключа подписи). </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r>
        <w:rPr>
          <w:rFonts w:ascii="Times New Roman" w:hAnsi="Times New Roman" w:cs="Times New Roman"/>
          <w:b w:val="0"/>
          <w:bCs w:val="0"/>
        </w:rPr>
      </w:r>
    </w:p>
    <w:p>
      <w:pPr>
        <w:pStyle w:val="1289"/>
        <w:ind w:firstLine="567"/>
        <w:jc w:val="both"/>
        <w:spacing w:after="120"/>
        <w:widowControl w:val="off"/>
        <w:rPr>
          <w:rFonts w:ascii="Times New Roman" w:hAnsi="Times New Roman" w:cs="Times New Roman"/>
          <w:sz w:val="24"/>
          <w:szCs w:val="24"/>
        </w:rPr>
      </w:pPr>
      <w:r>
        <w:rPr>
          <w:rFonts w:ascii="Times New Roman" w:hAnsi="Times New Roman" w:cs="Times New Roman"/>
          <w:sz w:val="24"/>
          <w:szCs w:val="24"/>
        </w:rPr>
        <w:t xml:space="preserve">В рамках рассмотрения заявок закупочная комиссия вправе направить участнику закупки запрос на разъяснение положений заявки участника, с указанием срока его выполнения. При этом</w:t>
      </w:r>
      <w:r>
        <w:rPr>
          <w:rFonts w:ascii="Times New Roman" w:hAnsi="Times New Roman" w:cs="Times New Roman"/>
          <w:sz w:val="24"/>
          <w:szCs w:val="24"/>
        </w:rPr>
        <w:t xml:space="preserve">,</w:t>
      </w:r>
      <w:r>
        <w:rPr>
          <w:rFonts w:ascii="Times New Roman" w:hAnsi="Times New Roman" w:cs="Times New Roman"/>
          <w:sz w:val="24"/>
          <w:szCs w:val="24"/>
        </w:rPr>
        <w:t xml:space="preserve"> не допускаются запросы или требования о представлении участником недостающих документов. Не принимаются к рассмотрению документы и сведения, направленные участником в ходе исполнения запроса, которые изменяют существо заявки </w:t>
      </w:r>
      <w:r>
        <w:rPr>
          <w:rFonts w:ascii="Times New Roman" w:hAnsi="Times New Roman" w:cs="Times New Roman"/>
          <w:sz w:val="24"/>
          <w:szCs w:val="24"/>
        </w:rPr>
        <w:t xml:space="preserve">участника</w:t>
      </w:r>
      <w:r>
        <w:rPr>
          <w:rFonts w:ascii="Times New Roman" w:hAnsi="Times New Roman" w:cs="Times New Roman"/>
          <w:sz w:val="24"/>
          <w:szCs w:val="24"/>
        </w:rPr>
        <w:t xml:space="preserve"> включая изменение коммерческих условий заявки (цены, валюты, сроков и условий поставки, графика поставки, иных коммерческих условий).</w:t>
      </w:r>
      <w:r>
        <w:rPr>
          <w:rFonts w:ascii="Times New Roman" w:hAnsi="Times New Roman" w:cs="Times New Roman"/>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rPr>
        <w:t xml:space="preserve">В рамках рассмотрения и </w:t>
      </w:r>
      <w:r>
        <w:rPr>
          <w:rFonts w:ascii="Times New Roman" w:hAnsi="Times New Roman" w:cs="Times New Roman"/>
          <w:b w:val="0"/>
        </w:rPr>
        <w:t xml:space="preserve">оценки</w:t>
      </w:r>
      <w:r>
        <w:rPr>
          <w:rFonts w:ascii="Times New Roman" w:hAnsi="Times New Roman" w:cs="Times New Roman"/>
          <w:b w:val="0"/>
        </w:rPr>
        <w:t xml:space="preserve"> поданных участниками закупок заявок, для расчета количества баллов по соответствующему критерию или иных числовых значений, предусмотренных документацией о закупке (например, при расчете процента снижения Н</w:t>
      </w:r>
      <w:r>
        <w:rPr>
          <w:rFonts w:ascii="Times New Roman" w:hAnsi="Times New Roman" w:cs="Times New Roman"/>
          <w:b w:val="0"/>
        </w:rPr>
        <w:t xml:space="preserve">МЦ), закупочная комиссия применяет правило математического округления чисел, при котором в случае получения дробных итоговых числовых значений, имеющих более 3 знаков в дробной части, осуществляется округление полученных значений до 3 знаков после запятой.</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первых частей заявок на участие в закупке закупочной комиссией принимается решение: </w:t>
      </w:r>
      <w:r>
        <w:rPr>
          <w:rFonts w:ascii="Times New Roman" w:hAnsi="Times New Roman" w:cs="Times New Roman"/>
          <w:b w:val="0"/>
          <w:bCs w:val="0"/>
        </w:rPr>
      </w:r>
    </w:p>
    <w:p>
      <w:pPr>
        <w:pStyle w:val="1119"/>
        <w:numPr>
          <w:ilvl w:val="0"/>
          <w:numId w:val="38"/>
        </w:numPr>
        <w:ind w:left="1418" w:hanging="709"/>
        <w:keepNext w:val="0"/>
        <w:spacing w:before="0" w:after="120"/>
        <w:widowControl w:val="off"/>
        <w:tabs>
          <w:tab w:val="clear" w:pos="1148" w:leader="none"/>
          <w:tab w:val="left" w:pos="1418" w:leader="none"/>
        </w:tabs>
        <w:rPr>
          <w:rFonts w:ascii="Times New Roman" w:hAnsi="Times New Roman" w:cs="Times New Roman"/>
        </w:rPr>
      </w:pPr>
      <w:r>
        <w:rPr>
          <w:rFonts w:ascii="Times New Roman" w:hAnsi="Times New Roman" w:cs="Times New Roman"/>
        </w:rPr>
        <w:t xml:space="preserve">о признании заявки участника соответствующей требованиям документации о закупке;</w:t>
      </w:r>
      <w:r>
        <w:rPr>
          <w:rFonts w:ascii="Times New Roman" w:hAnsi="Times New Roman" w:cs="Times New Roman"/>
        </w:rPr>
      </w:r>
    </w:p>
    <w:p>
      <w:pPr>
        <w:pStyle w:val="1119"/>
        <w:numPr>
          <w:ilvl w:val="0"/>
          <w:numId w:val="38"/>
        </w:numPr>
        <w:ind w:left="1418" w:hanging="709"/>
        <w:keepNext w:val="0"/>
        <w:spacing w:before="0" w:after="120"/>
        <w:widowControl w:val="off"/>
        <w:tabs>
          <w:tab w:val="clear" w:pos="1148" w:leader="none"/>
          <w:tab w:val="left" w:pos="1418" w:leader="none"/>
        </w:tabs>
        <w:rPr>
          <w:rFonts w:ascii="Times New Roman" w:hAnsi="Times New Roman" w:cs="Times New Roman"/>
        </w:rPr>
      </w:pPr>
      <w:r>
        <w:rPr>
          <w:rFonts w:ascii="Times New Roman" w:hAnsi="Times New Roman" w:cs="Times New Roman"/>
        </w:rPr>
        <w:t xml:space="preserve">о признании заявки участника </w:t>
      </w:r>
      <w:r>
        <w:rPr>
          <w:rFonts w:ascii="Times New Roman" w:hAnsi="Times New Roman" w:cs="Times New Roman"/>
        </w:rPr>
        <w:t xml:space="preserve">несоответствующими</w:t>
      </w:r>
      <w:r>
        <w:rPr>
          <w:rFonts w:ascii="Times New Roman" w:hAnsi="Times New Roman" w:cs="Times New Roman"/>
        </w:rPr>
        <w:t xml:space="preserve"> требованиям документации о закупке и отклонении заявки участника от участия в закупке.</w:t>
      </w:r>
      <w:r>
        <w:rPr>
          <w:rFonts w:ascii="Times New Roman" w:hAnsi="Times New Roman" w:cs="Times New Roman"/>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На основании результатов рассмотрения вторых частей заявок на участие в закупке закупочной комиссией принимается решение: </w:t>
      </w:r>
      <w:r>
        <w:rPr>
          <w:rFonts w:ascii="Times New Roman" w:hAnsi="Times New Roman" w:cs="Times New Roman"/>
          <w:b w:val="0"/>
          <w:bCs w:val="0"/>
        </w:rPr>
      </w:r>
    </w:p>
    <w:p>
      <w:pPr>
        <w:pStyle w:val="1119"/>
        <w:numPr>
          <w:ilvl w:val="0"/>
          <w:numId w:val="39"/>
        </w:numPr>
        <w:ind w:left="1418" w:hanging="709"/>
        <w:keepNext w:val="0"/>
        <w:spacing w:before="0" w:after="120"/>
        <w:widowControl w:val="off"/>
        <w:tabs>
          <w:tab w:val="clear" w:pos="1148" w:leader="none"/>
          <w:tab w:val="left" w:pos="1418" w:leader="none"/>
        </w:tabs>
        <w:rPr>
          <w:rFonts w:ascii="Times New Roman" w:hAnsi="Times New Roman" w:cs="Times New Roman"/>
        </w:rPr>
      </w:pPr>
      <w:r>
        <w:rPr>
          <w:rFonts w:ascii="Times New Roman" w:hAnsi="Times New Roman" w:cs="Times New Roman"/>
        </w:rPr>
        <w:t xml:space="preserve">о признании участника и/или заявки участника соответствующей требованиям документации о закупке;</w:t>
      </w:r>
      <w:r>
        <w:rPr>
          <w:rFonts w:ascii="Times New Roman" w:hAnsi="Times New Roman" w:cs="Times New Roman"/>
        </w:rPr>
      </w:r>
    </w:p>
    <w:p>
      <w:pPr>
        <w:pStyle w:val="1119"/>
        <w:numPr>
          <w:ilvl w:val="0"/>
          <w:numId w:val="39"/>
        </w:numPr>
        <w:ind w:left="1418" w:hanging="709"/>
        <w:keepNext w:val="0"/>
        <w:spacing w:before="0" w:after="120"/>
        <w:widowControl w:val="off"/>
        <w:tabs>
          <w:tab w:val="clear" w:pos="1148" w:leader="none"/>
          <w:tab w:val="left" w:pos="1418" w:leader="none"/>
        </w:tabs>
        <w:rPr>
          <w:rFonts w:ascii="Times New Roman" w:hAnsi="Times New Roman" w:cs="Times New Roman"/>
        </w:rPr>
      </w:pPr>
      <w:r>
        <w:rPr>
          <w:rFonts w:ascii="Times New Roman" w:hAnsi="Times New Roman" w:cs="Times New Roman"/>
        </w:rPr>
        <w:t xml:space="preserve">о признании участника и/или заявки участника </w:t>
      </w:r>
      <w:r>
        <w:rPr>
          <w:rFonts w:ascii="Times New Roman" w:hAnsi="Times New Roman" w:cs="Times New Roman"/>
        </w:rPr>
        <w:t xml:space="preserve">несоответствующими</w:t>
      </w:r>
      <w:r>
        <w:rPr>
          <w:rFonts w:ascii="Times New Roman" w:hAnsi="Times New Roman" w:cs="Times New Roman"/>
        </w:rPr>
        <w:t xml:space="preserve"> требованиям документации о закупке и отклонении заявки участника от участия в закупке.</w:t>
      </w:r>
      <w:r>
        <w:rPr>
          <w:rFonts w:ascii="Times New Roman" w:hAnsi="Times New Roman" w:cs="Times New Roman"/>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Если до момента подписания договора по результатам закупки и размещения информации о заключении такого договора на ЕИС (в случае если размещение сведений о договоре на ЕИС является обязательным) будет выявлено, что Закупочная комиссия</w:t>
      </w:r>
      <w:r>
        <w:rPr>
          <w:rFonts w:ascii="Times New Roman" w:hAnsi="Times New Roman" w:cs="Times New Roman"/>
          <w:b w:val="0"/>
          <w:bCs w:val="0"/>
        </w:rPr>
        <w:t xml:space="preserve">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w:t>
      </w:r>
      <w:r>
        <w:rPr>
          <w:rFonts w:ascii="Times New Roman" w:hAnsi="Times New Roman" w:cs="Times New Roman"/>
          <w:b w:val="0"/>
          <w:bCs w:val="0"/>
        </w:rPr>
        <w:t xml:space="preserve"> о закупке) Закупочная комиссия обязана отменить ранее принятые решения и провести процедуры рассмотрения, оценки и сопоставления заявок повторно с учетом выявленных нарушений.</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458" w:name="_Toc106094374"/>
      <w:r/>
      <w:bookmarkStart w:id="459" w:name="_Toc69112955"/>
      <w:r/>
      <w:bookmarkStart w:id="460" w:name="_Toc69376441"/>
      <w:r/>
      <w:bookmarkStart w:id="461" w:name="_Toc78270664"/>
      <w:r/>
      <w:bookmarkStart w:id="462" w:name="_Toc88823585"/>
      <w:r/>
      <w:bookmarkStart w:id="463" w:name="_Toc89083624"/>
      <w:r/>
      <w:bookmarkStart w:id="464" w:name="_Toc97464633"/>
      <w:r/>
      <w:bookmarkStart w:id="465" w:name="_Toc104378955"/>
      <w:r/>
      <w:bookmarkStart w:id="466" w:name="_Toc106788994"/>
      <w:r/>
      <w:bookmarkStart w:id="467" w:name="_Toc108512677"/>
      <w:r/>
      <w:bookmarkStart w:id="468" w:name="_Toc108612945"/>
      <w:r/>
      <w:bookmarkStart w:id="469" w:name="_Toc110854190"/>
      <w:r/>
      <w:bookmarkStart w:id="470" w:name="_Toc175583297"/>
      <w:r/>
      <w:bookmarkStart w:id="471" w:name="_Toc103175503"/>
      <w:r/>
      <w:bookmarkStart w:id="472" w:name="_Toc58242336"/>
      <w:r/>
      <w:bookmarkStart w:id="473" w:name="_Toc103849692"/>
      <w:r/>
      <w:bookmarkStart w:id="474" w:name="_Toc63765787"/>
      <w:r/>
      <w:bookmarkStart w:id="475" w:name="_Toc3204425"/>
      <w:r/>
      <w:bookmarkStart w:id="476" w:name="_Toc3555492"/>
      <w:r/>
      <w:bookmarkStart w:id="477" w:name="_Toc31963503"/>
      <w:r/>
      <w:bookmarkStart w:id="478" w:name="_Toc3810141"/>
      <w:r/>
      <w:bookmarkStart w:id="479" w:name="_Toc4075604"/>
      <w:r/>
      <w:bookmarkStart w:id="480" w:name="_Toc4578037"/>
      <w:r/>
      <w:bookmarkStart w:id="481" w:name="_Toc4590458"/>
      <w:r/>
      <w:bookmarkStart w:id="482" w:name="_Toc6299390"/>
      <w:r/>
      <w:bookmarkStart w:id="483" w:name="_Toc6913810"/>
      <w:r/>
      <w:bookmarkStart w:id="484" w:name="_Toc33084925"/>
      <w:r/>
      <w:bookmarkStart w:id="485" w:name="_Toc33539074"/>
      <w:r/>
      <w:bookmarkStart w:id="486" w:name="_Toc41402329"/>
      <w:r/>
      <w:bookmarkStart w:id="487" w:name="_Toc47961661"/>
      <w:r/>
      <w:bookmarkStart w:id="488" w:name="_Toc52445789"/>
      <w:r/>
      <w:bookmarkStart w:id="489" w:name="_Toc56503399"/>
      <w:r/>
      <w:bookmarkStart w:id="490" w:name="_Toc57630477"/>
      <w:r/>
      <w:bookmarkStart w:id="491" w:name="_Toc17735602"/>
      <w:r/>
      <w:bookmarkStart w:id="492" w:name="_Toc224649988"/>
      <w:r/>
      <w:bookmarkStart w:id="493" w:name="_Toc236307219"/>
      <w:r>
        <w:rPr>
          <w:sz w:val="24"/>
          <w:szCs w:val="24"/>
        </w:rPr>
        <w:t xml:space="preserve">Критерии оценки заявок участников закупки</w:t>
      </w:r>
      <w:bookmarkEnd w:id="458"/>
      <w:r/>
      <w:bookmarkEnd w:id="459"/>
      <w:r/>
      <w:bookmarkEnd w:id="460"/>
      <w:r/>
      <w:bookmarkEnd w:id="461"/>
      <w:r/>
      <w:bookmarkEnd w:id="462"/>
      <w:r/>
      <w:bookmarkEnd w:id="463"/>
      <w:r/>
      <w:bookmarkEnd w:id="464"/>
      <w:r/>
      <w:bookmarkEnd w:id="465"/>
      <w:r/>
      <w:bookmarkEnd w:id="466"/>
      <w:r/>
      <w:bookmarkEnd w:id="467"/>
      <w:r/>
      <w:bookmarkEnd w:id="468"/>
      <w:r/>
      <w:bookmarkEnd w:id="469"/>
      <w:r/>
      <w:bookmarkEnd w:id="470"/>
      <w:r/>
      <w:bookmarkEnd w:id="471"/>
      <w:r/>
      <w:bookmarkEnd w:id="472"/>
      <w:r/>
      <w:bookmarkEnd w:id="473"/>
      <w:r/>
      <w:bookmarkEnd w:id="474"/>
      <w:r/>
      <w:bookmarkEnd w:id="475"/>
      <w:r/>
      <w:bookmarkEnd w:id="476"/>
      <w:r/>
      <w:bookmarkEnd w:id="477"/>
      <w:r/>
      <w:bookmarkEnd w:id="478"/>
      <w:r/>
      <w:bookmarkEnd w:id="479"/>
      <w:r/>
      <w:bookmarkEnd w:id="480"/>
      <w:r/>
      <w:bookmarkEnd w:id="481"/>
      <w:r/>
      <w:bookmarkEnd w:id="482"/>
      <w:r/>
      <w:bookmarkEnd w:id="483"/>
      <w:r/>
      <w:bookmarkEnd w:id="484"/>
      <w:r/>
      <w:bookmarkEnd w:id="485"/>
      <w:r/>
      <w:bookmarkEnd w:id="486"/>
      <w:r/>
      <w:bookmarkEnd w:id="487"/>
      <w:r/>
      <w:bookmarkEnd w:id="488"/>
      <w:r/>
      <w:bookmarkEnd w:id="489"/>
      <w:r/>
      <w:bookmarkEnd w:id="490"/>
      <w:r/>
      <w:bookmarkEnd w:id="491"/>
      <w:r/>
      <w:bookmarkEnd w:id="492"/>
      <w:r/>
      <w:bookmarkEnd w:id="493"/>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«ИНФОРМАЦИОННАЯ КАРТА ЗАКУПКИ».</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Рассмотрение, оценка и сопоставления заявок участников осуществляется в рамках проведения этапов закупки, установленных в пункте 8 части II «ИНФОРМАЦИОННАЯ КАРТА ЗАКУПКИ» с учетом информации и документов, содержащихся в заявках участников закупок, направля</w:t>
      </w:r>
      <w:r>
        <w:rPr>
          <w:rFonts w:ascii="Times New Roman" w:hAnsi="Times New Roman" w:cs="Times New Roman"/>
          <w:b w:val="0"/>
          <w:bCs w:val="0"/>
        </w:rPr>
        <w:t xml:space="preserve">емых Заказчику оператором ЕЭТП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w:t>
      </w:r>
      <w:r>
        <w:rPr>
          <w:rFonts w:ascii="Times New Roman" w:hAnsi="Times New Roman" w:cs="Times New Roman"/>
          <w:b w:val="0"/>
          <w:bCs w:val="0"/>
        </w:rPr>
        <w:t xml:space="preserve">вии с требованиями, установленными Законом 223-ФЗ и Положением о закупке Заказчика.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w:t>
      </w:r>
      <w:r>
        <w:rPr>
          <w:rFonts w:ascii="Times New Roman" w:hAnsi="Times New Roman" w:cs="Times New Roman"/>
          <w:b w:val="0"/>
          <w:bCs w:val="0"/>
        </w:rPr>
        <w:t xml:space="preserve">предложение</w:t>
      </w:r>
      <w:r>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Pr>
          <w:b w:val="0"/>
        </w:rPr>
        <w:t xml:space="preserve"> </w:t>
      </w:r>
      <w:r>
        <w:rPr>
          <w:rFonts w:ascii="Times New Roman" w:hAnsi="Times New Roman" w:cs="Times New Roman"/>
          <w:b w:val="0"/>
        </w:rPr>
        <w:t xml:space="preserve">В случае если итоговый рейтинг двух или более заявок будет одинаковым, победителем закупки признается участник, заявка на </w:t>
      </w:r>
      <w:r>
        <w:rPr>
          <w:rFonts w:ascii="Times New Roman" w:hAnsi="Times New Roman" w:cs="Times New Roman"/>
          <w:b w:val="0"/>
        </w:rPr>
        <w:t xml:space="preserve">участие</w:t>
      </w:r>
      <w:r>
        <w:rPr>
          <w:rFonts w:ascii="Times New Roman" w:hAnsi="Times New Roman" w:cs="Times New Roman"/>
          <w:b w:val="0"/>
        </w:rPr>
        <w:t xml:space="preserve"> в закупке которого поступила ранее других заявок.</w:t>
      </w:r>
      <w:r>
        <w:rPr>
          <w:rFonts w:ascii="Times New Roman" w:hAnsi="Times New Roman" w:cs="Times New Roman"/>
          <w:b w:val="0"/>
        </w:rPr>
      </w:r>
    </w:p>
    <w:p>
      <w:pPr>
        <w:pStyle w:val="1117"/>
        <w:numPr>
          <w:ilvl w:val="1"/>
          <w:numId w:val="21"/>
        </w:numPr>
        <w:ind w:left="0" w:firstLine="567"/>
        <w:jc w:val="both"/>
        <w:keepNext w:val="0"/>
        <w:spacing w:after="120"/>
        <w:widowControl w:val="off"/>
        <w:rPr>
          <w:sz w:val="24"/>
          <w:szCs w:val="24"/>
        </w:rPr>
      </w:pPr>
      <w:r/>
      <w:bookmarkStart w:id="494" w:name="_Toc58242337"/>
      <w:r/>
      <w:bookmarkStart w:id="495" w:name="_Toc103849693"/>
      <w:r/>
      <w:bookmarkStart w:id="496" w:name="_Toc69112956"/>
      <w:r/>
      <w:bookmarkStart w:id="497" w:name="_Toc69376442"/>
      <w:r/>
      <w:bookmarkStart w:id="498" w:name="_Toc78270665"/>
      <w:r/>
      <w:bookmarkStart w:id="499" w:name="_Toc88823586"/>
      <w:r/>
      <w:bookmarkStart w:id="500" w:name="_Toc89083625"/>
      <w:r/>
      <w:bookmarkStart w:id="501" w:name="_Toc97464634"/>
      <w:r/>
      <w:bookmarkStart w:id="502" w:name="_Toc103175504"/>
      <w:r/>
      <w:bookmarkStart w:id="503" w:name="_Toc104378956"/>
      <w:r/>
      <w:bookmarkStart w:id="504" w:name="_Toc175583298"/>
      <w:r/>
      <w:bookmarkStart w:id="505" w:name="_Toc110854191"/>
      <w:r/>
      <w:bookmarkStart w:id="506" w:name="_Toc108612946"/>
      <w:r/>
      <w:bookmarkStart w:id="507" w:name="_Toc108512678"/>
      <w:r/>
      <w:bookmarkStart w:id="508" w:name="_Toc106788995"/>
      <w:r/>
      <w:bookmarkStart w:id="509" w:name="_Toc106094375"/>
      <w:r/>
      <w:bookmarkStart w:id="510" w:name="_Toc63765788"/>
      <w:r/>
      <w:bookmarkStart w:id="511" w:name="_Toc17735603"/>
      <w:r/>
      <w:bookmarkStart w:id="512" w:name="_Toc57630478"/>
      <w:r/>
      <w:bookmarkStart w:id="513" w:name="_Toc6913811"/>
      <w:r/>
      <w:bookmarkStart w:id="514" w:name="_Toc6299391"/>
      <w:r/>
      <w:bookmarkStart w:id="515" w:name="_Toc4590459"/>
      <w:r/>
      <w:bookmarkStart w:id="516" w:name="_Toc4578038"/>
      <w:r/>
      <w:bookmarkStart w:id="517" w:name="_Toc4075605"/>
      <w:r/>
      <w:bookmarkStart w:id="518" w:name="_Toc3810142"/>
      <w:r/>
      <w:bookmarkStart w:id="519" w:name="_Toc3555493"/>
      <w:r/>
      <w:bookmarkStart w:id="520" w:name="_Toc52445790"/>
      <w:r/>
      <w:bookmarkStart w:id="521" w:name="_Toc47961662"/>
      <w:r/>
      <w:bookmarkStart w:id="522" w:name="_Toc41402330"/>
      <w:r/>
      <w:bookmarkStart w:id="523" w:name="_Toc33539075"/>
      <w:r/>
      <w:bookmarkStart w:id="524" w:name="_Toc33084926"/>
      <w:r/>
      <w:bookmarkStart w:id="525" w:name="_Toc31963504"/>
      <w:r/>
      <w:bookmarkStart w:id="526" w:name="_Toc3204426"/>
      <w:r/>
      <w:bookmarkStart w:id="527" w:name="_Toc56503400"/>
      <w:r/>
      <w:bookmarkStart w:id="528" w:name="_Toc224649989"/>
      <w:r/>
      <w:bookmarkStart w:id="529" w:name="_Toc236307220"/>
      <w:r>
        <w:rPr>
          <w:sz w:val="24"/>
          <w:szCs w:val="24"/>
        </w:rPr>
        <w:t xml:space="preserve">Особенности осуществления рассмотрения, оценки и сопоставления первых частей заявок</w:t>
      </w:r>
      <w:bookmarkEnd w:id="494"/>
      <w:r/>
      <w:bookmarkEnd w:id="495"/>
      <w:r/>
      <w:bookmarkEnd w:id="496"/>
      <w:r/>
      <w:bookmarkEnd w:id="497"/>
      <w:r/>
      <w:bookmarkEnd w:id="498"/>
      <w:r/>
      <w:bookmarkEnd w:id="499"/>
      <w:r/>
      <w:bookmarkEnd w:id="500"/>
      <w:r/>
      <w:bookmarkEnd w:id="501"/>
      <w:r/>
      <w:bookmarkEnd w:id="502"/>
      <w:r/>
      <w:bookmarkEnd w:id="503"/>
      <w:r/>
      <w:bookmarkEnd w:id="504"/>
      <w:r/>
      <w:bookmarkEnd w:id="505"/>
      <w:r/>
      <w:bookmarkEnd w:id="506"/>
      <w:r/>
      <w:bookmarkEnd w:id="507"/>
      <w:r/>
      <w:bookmarkEnd w:id="508"/>
      <w:r/>
      <w:bookmarkEnd w:id="509"/>
      <w:r/>
      <w:bookmarkEnd w:id="510"/>
      <w:r/>
      <w:bookmarkEnd w:id="511"/>
      <w:r/>
      <w:bookmarkEnd w:id="512"/>
      <w:r/>
      <w:bookmarkEnd w:id="513"/>
      <w:r/>
      <w:bookmarkEnd w:id="514"/>
      <w:r/>
      <w:bookmarkEnd w:id="515"/>
      <w:r/>
      <w:bookmarkEnd w:id="516"/>
      <w:r/>
      <w:bookmarkEnd w:id="517"/>
      <w:r/>
      <w:bookmarkEnd w:id="518"/>
      <w:r/>
      <w:bookmarkEnd w:id="519"/>
      <w:r/>
      <w:bookmarkEnd w:id="520"/>
      <w:r/>
      <w:bookmarkEnd w:id="521"/>
      <w:r/>
      <w:bookmarkEnd w:id="522"/>
      <w:r/>
      <w:bookmarkEnd w:id="523"/>
      <w:r/>
      <w:bookmarkEnd w:id="524"/>
      <w:r/>
      <w:bookmarkEnd w:id="525"/>
      <w:r/>
      <w:bookmarkEnd w:id="526"/>
      <w:r/>
      <w:bookmarkEnd w:id="527"/>
      <w:r/>
      <w:bookmarkEnd w:id="528"/>
      <w:r/>
      <w:bookmarkEnd w:id="529"/>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Первые части конкурсных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w:t>
      </w:r>
      <w:r>
        <w:rPr>
          <w:rFonts w:ascii="Times New Roman" w:hAnsi="Times New Roman" w:cs="Times New Roman"/>
          <w:b w:val="0"/>
          <w:bCs w:val="0"/>
        </w:rPr>
        <w:t xml:space="preserve">закупки</w:t>
      </w:r>
      <w:r>
        <w:rPr>
          <w:rFonts w:ascii="Times New Roman" w:hAnsi="Times New Roman" w:cs="Times New Roman"/>
          <w:b w:val="0"/>
          <w:bCs w:val="0"/>
        </w:rPr>
        <w:t xml:space="preserve"> на основании представленных в составе заявок документов (Предложения участника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В случае установления в приложении 1 части II «ИНФОРМАЦИОННАЯ КАРТА ЗАКУПКИ» оценочных критериев, предусматривающих оценку Предложения участника, оценку соответствия предлагаемой продукции </w:t>
      </w:r>
      <w:r>
        <w:rPr>
          <w:rFonts w:ascii="Times New Roman" w:hAnsi="Times New Roman" w:cs="Times New Roman"/>
          <w:b w:val="0"/>
          <w:bCs w:val="0"/>
        </w:rPr>
        <w:t xml:space="preserve">требованиям</w:t>
      </w:r>
      <w:r>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w:t>
      </w:r>
      <w:r>
        <w:rPr>
          <w:rFonts w:ascii="Times New Roman" w:hAnsi="Times New Roman" w:cs="Times New Roman"/>
          <w:b w:val="0"/>
          <w:bCs w:val="0"/>
        </w:rPr>
        <w:t xml:space="preserve">, оказываемой услуги потребностям Заказчика, к условиям исполнения договора, Закупочная комиссия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w:t>
      </w:r>
      <w:r>
        <w:rPr>
          <w:rFonts w:ascii="Times New Roman" w:hAnsi="Times New Roman" w:cs="Times New Roman"/>
          <w:b w:val="0"/>
          <w:bCs w:val="0"/>
        </w:rPr>
        <w:t xml:space="preserve">информация</w:t>
      </w:r>
      <w:r>
        <w:rPr>
          <w:rFonts w:ascii="Times New Roman" w:hAnsi="Times New Roman" w:cs="Times New Roman"/>
          <w:b w:val="0"/>
          <w:bCs w:val="0"/>
        </w:rPr>
        <w:t xml:space="preserve"> о результатах которой отражается в протоколе. При этом отсутствие в первой части заявки </w:t>
      </w:r>
      <w:r>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критериям, не является основанием для отклонения заявки.</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530" w:name="_Toc89083626"/>
      <w:r/>
      <w:bookmarkStart w:id="531" w:name="_Toc104378957"/>
      <w:r/>
      <w:bookmarkStart w:id="532" w:name="_Toc78270666"/>
      <w:r/>
      <w:bookmarkStart w:id="533" w:name="_Toc88823587"/>
      <w:r/>
      <w:bookmarkStart w:id="534" w:name="_Toc69376443"/>
      <w:r/>
      <w:bookmarkStart w:id="535" w:name="_Toc97464635"/>
      <w:r/>
      <w:bookmarkStart w:id="536" w:name="_Toc103175505"/>
      <w:r/>
      <w:bookmarkStart w:id="537" w:name="_Toc103849694"/>
      <w:r/>
      <w:bookmarkStart w:id="538" w:name="_Toc106788996"/>
      <w:r/>
      <w:bookmarkStart w:id="539" w:name="_Toc108512679"/>
      <w:r/>
      <w:bookmarkStart w:id="540" w:name="_Toc108612947"/>
      <w:r/>
      <w:bookmarkStart w:id="541" w:name="_Toc110854192"/>
      <w:r/>
      <w:bookmarkStart w:id="542" w:name="_Toc63765789"/>
      <w:r/>
      <w:bookmarkStart w:id="543" w:name="_Toc106094376"/>
      <w:r/>
      <w:bookmarkStart w:id="544" w:name="_Toc69112957"/>
      <w:r/>
      <w:bookmarkStart w:id="545" w:name="_Toc175583299"/>
      <w:r/>
      <w:bookmarkStart w:id="546" w:name="_Toc3204427"/>
      <w:r/>
      <w:bookmarkStart w:id="547" w:name="_Toc4578039"/>
      <w:r/>
      <w:bookmarkStart w:id="548" w:name="_Toc3555494"/>
      <w:r/>
      <w:bookmarkStart w:id="549" w:name="_Toc3810143"/>
      <w:r/>
      <w:bookmarkStart w:id="550" w:name="_Toc4075606"/>
      <w:r/>
      <w:bookmarkStart w:id="551" w:name="_Toc31963505"/>
      <w:r/>
      <w:bookmarkStart w:id="552" w:name="_Toc4590460"/>
      <w:r/>
      <w:bookmarkStart w:id="553" w:name="_Toc6299392"/>
      <w:r/>
      <w:bookmarkStart w:id="554" w:name="_Toc6913812"/>
      <w:r/>
      <w:bookmarkStart w:id="555" w:name="_Toc17735604"/>
      <w:r/>
      <w:bookmarkStart w:id="556" w:name="_Toc33539076"/>
      <w:r/>
      <w:bookmarkStart w:id="557" w:name="_Toc41402331"/>
      <w:r/>
      <w:bookmarkStart w:id="558" w:name="_Toc47961663"/>
      <w:r/>
      <w:bookmarkStart w:id="559" w:name="_Toc52445791"/>
      <w:r/>
      <w:bookmarkStart w:id="560" w:name="_Toc56503401"/>
      <w:r/>
      <w:bookmarkStart w:id="561" w:name="_Toc57630479"/>
      <w:r/>
      <w:bookmarkStart w:id="562" w:name="_Toc58242338"/>
      <w:r/>
      <w:bookmarkStart w:id="563" w:name="_Toc33084927"/>
      <w:r/>
      <w:bookmarkStart w:id="564" w:name="_Toc224649990"/>
      <w:r/>
      <w:bookmarkStart w:id="565" w:name="_Toc236307221"/>
      <w:r>
        <w:rPr>
          <w:sz w:val="24"/>
          <w:szCs w:val="24"/>
        </w:rPr>
        <w:t xml:space="preserve">Особенности осуществления рассмотрения, оценки и сопоставления вторых частей заявок</w:t>
      </w:r>
      <w:bookmarkEnd w:id="530"/>
      <w:r/>
      <w:bookmarkEnd w:id="531"/>
      <w:r/>
      <w:bookmarkEnd w:id="532"/>
      <w:r/>
      <w:bookmarkEnd w:id="533"/>
      <w:r/>
      <w:bookmarkEnd w:id="534"/>
      <w:r/>
      <w:bookmarkEnd w:id="535"/>
      <w:r/>
      <w:bookmarkEnd w:id="536"/>
      <w:r/>
      <w:bookmarkEnd w:id="537"/>
      <w:r/>
      <w:bookmarkEnd w:id="538"/>
      <w:r/>
      <w:bookmarkEnd w:id="539"/>
      <w:r/>
      <w:bookmarkEnd w:id="540"/>
      <w:r/>
      <w:bookmarkEnd w:id="541"/>
      <w:r/>
      <w:bookmarkEnd w:id="542"/>
      <w:r/>
      <w:bookmarkEnd w:id="543"/>
      <w:r/>
      <w:bookmarkEnd w:id="544"/>
      <w:r/>
      <w:bookmarkEnd w:id="545"/>
      <w:r/>
      <w:bookmarkEnd w:id="546"/>
      <w:r/>
      <w:bookmarkEnd w:id="547"/>
      <w:r/>
      <w:bookmarkEnd w:id="548"/>
      <w:r/>
      <w:bookmarkEnd w:id="549"/>
      <w:r/>
      <w:bookmarkEnd w:id="550"/>
      <w:r/>
      <w:bookmarkEnd w:id="551"/>
      <w:r/>
      <w:bookmarkEnd w:id="552"/>
      <w:r/>
      <w:bookmarkEnd w:id="553"/>
      <w:r/>
      <w:bookmarkEnd w:id="554"/>
      <w:r/>
      <w:bookmarkEnd w:id="555"/>
      <w:r/>
      <w:bookmarkEnd w:id="556"/>
      <w:r/>
      <w:bookmarkEnd w:id="557"/>
      <w:r/>
      <w:bookmarkEnd w:id="558"/>
      <w:r/>
      <w:bookmarkEnd w:id="559"/>
      <w:r/>
      <w:bookmarkEnd w:id="560"/>
      <w:r/>
      <w:bookmarkEnd w:id="561"/>
      <w:r/>
      <w:bookmarkEnd w:id="562"/>
      <w:r/>
      <w:bookmarkEnd w:id="563"/>
      <w:r/>
      <w:bookmarkEnd w:id="564"/>
      <w:r/>
      <w:bookmarkEnd w:id="565"/>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Закупочная комиссия рассматривает вторые части заявок участников на предмет их соответствия требованиям, установленным документацией о закупке, а также </w:t>
      </w:r>
      <w:r>
        <w:rPr>
          <w:rFonts w:ascii="Times New Roman" w:hAnsi="Times New Roman" w:cs="Times New Roman"/>
          <w:b w:val="0"/>
          <w:bCs w:val="0"/>
        </w:rPr>
        <w:t xml:space="preserve">осуществляет оценку и сопоставление заявок участников в соответствии с порядком и критериями, установленными документацией о закупке. При этом отсутствие во второй части заявки </w:t>
      </w:r>
      <w:r>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критериям, не является основанием для отклонения заявки.</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566" w:name="_Toc106094377"/>
      <w:r/>
      <w:bookmarkStart w:id="567" w:name="_Toc97464636"/>
      <w:r/>
      <w:bookmarkStart w:id="568" w:name="_Toc89083627"/>
      <w:r/>
      <w:bookmarkStart w:id="569" w:name="_Toc88823588"/>
      <w:r/>
      <w:bookmarkStart w:id="570" w:name="_Toc57630480"/>
      <w:r/>
      <w:bookmarkStart w:id="571" w:name="_Toc78270667"/>
      <w:r/>
      <w:bookmarkStart w:id="572" w:name="_Toc69112958"/>
      <w:r/>
      <w:bookmarkStart w:id="573" w:name="_Toc103849695"/>
      <w:r/>
      <w:bookmarkStart w:id="574" w:name="_Toc33084928"/>
      <w:r/>
      <w:bookmarkStart w:id="575" w:name="_Toc3204428"/>
      <w:r/>
      <w:bookmarkStart w:id="576" w:name="_Toc104378958"/>
      <w:r/>
      <w:bookmarkStart w:id="577" w:name="_Toc63765790"/>
      <w:r/>
      <w:bookmarkStart w:id="578" w:name="_Toc58242339"/>
      <w:r/>
      <w:bookmarkStart w:id="579" w:name="_Toc175583300"/>
      <w:r/>
      <w:bookmarkStart w:id="580" w:name="_Toc108612948"/>
      <w:r/>
      <w:bookmarkStart w:id="581" w:name="_Toc108512680"/>
      <w:r/>
      <w:bookmarkStart w:id="582" w:name="_Toc106788997"/>
      <w:r/>
      <w:bookmarkStart w:id="583" w:name="_Toc6299393"/>
      <w:r/>
      <w:bookmarkStart w:id="584" w:name="_Toc69376444"/>
      <w:r/>
      <w:bookmarkStart w:id="585" w:name="_Toc6913813"/>
      <w:r/>
      <w:bookmarkStart w:id="586" w:name="_Toc4590461"/>
      <w:r/>
      <w:bookmarkStart w:id="587" w:name="_Toc4578040"/>
      <w:r/>
      <w:bookmarkStart w:id="588" w:name="_Toc4075607"/>
      <w:r/>
      <w:bookmarkStart w:id="589" w:name="_Toc3810144"/>
      <w:r/>
      <w:bookmarkStart w:id="590" w:name="_Toc3555495"/>
      <w:r/>
      <w:bookmarkStart w:id="591" w:name="_Toc110854193"/>
      <w:r/>
      <w:bookmarkStart w:id="592" w:name="_Toc47961664"/>
      <w:r/>
      <w:bookmarkStart w:id="593" w:name="_Toc41402332"/>
      <w:r/>
      <w:bookmarkStart w:id="594" w:name="_Toc56503402"/>
      <w:r/>
      <w:bookmarkStart w:id="595" w:name="_Toc33539077"/>
      <w:r/>
      <w:bookmarkStart w:id="596" w:name="_Toc31963506"/>
      <w:r/>
      <w:bookmarkStart w:id="597" w:name="_Toc17735605"/>
      <w:r/>
      <w:bookmarkStart w:id="598" w:name="_Toc103175506"/>
      <w:r/>
      <w:bookmarkStart w:id="599" w:name="_Toc52445792"/>
      <w:r/>
      <w:bookmarkStart w:id="600" w:name="_Toc224649991"/>
      <w:r/>
      <w:bookmarkStart w:id="601" w:name="_Toc236307222"/>
      <w:r>
        <w:rPr>
          <w:sz w:val="24"/>
          <w:szCs w:val="24"/>
        </w:rPr>
        <w:t xml:space="preserve">Особенности осуществления рассмотрения, оценки и сопоставления ценовых предложений участников закупки</w:t>
      </w:r>
      <w:bookmarkEnd w:id="566"/>
      <w:r/>
      <w:bookmarkEnd w:id="567"/>
      <w:r/>
      <w:bookmarkEnd w:id="568"/>
      <w:r/>
      <w:bookmarkEnd w:id="569"/>
      <w:r/>
      <w:bookmarkEnd w:id="570"/>
      <w:r/>
      <w:bookmarkEnd w:id="571"/>
      <w:r/>
      <w:bookmarkEnd w:id="572"/>
      <w:r/>
      <w:bookmarkEnd w:id="573"/>
      <w:r/>
      <w:bookmarkEnd w:id="574"/>
      <w:r/>
      <w:bookmarkEnd w:id="575"/>
      <w:r/>
      <w:bookmarkEnd w:id="576"/>
      <w:r/>
      <w:bookmarkEnd w:id="577"/>
      <w:r/>
      <w:bookmarkEnd w:id="578"/>
      <w:r/>
      <w:bookmarkEnd w:id="579"/>
      <w:r/>
      <w:bookmarkEnd w:id="580"/>
      <w:r/>
      <w:bookmarkEnd w:id="581"/>
      <w:r/>
      <w:bookmarkEnd w:id="582"/>
      <w:r/>
      <w:bookmarkEnd w:id="583"/>
      <w:r/>
      <w:bookmarkEnd w:id="584"/>
      <w:r/>
      <w:bookmarkEnd w:id="585"/>
      <w:r/>
      <w:bookmarkEnd w:id="586"/>
      <w:r/>
      <w:bookmarkEnd w:id="587"/>
      <w:r/>
      <w:bookmarkEnd w:id="588"/>
      <w:r/>
      <w:bookmarkEnd w:id="589"/>
      <w:r/>
      <w:bookmarkEnd w:id="590"/>
      <w:r/>
      <w:bookmarkEnd w:id="591"/>
      <w:r/>
      <w:bookmarkEnd w:id="592"/>
      <w:r/>
      <w:bookmarkEnd w:id="593"/>
      <w:r/>
      <w:bookmarkEnd w:id="594"/>
      <w:r/>
      <w:bookmarkEnd w:id="595"/>
      <w:r/>
      <w:bookmarkEnd w:id="596"/>
      <w:r/>
      <w:bookmarkEnd w:id="597"/>
      <w:r/>
      <w:bookmarkEnd w:id="598"/>
      <w:r/>
      <w:bookmarkEnd w:id="599"/>
      <w:r/>
      <w:bookmarkEnd w:id="600"/>
      <w:r/>
      <w:bookmarkEnd w:id="601"/>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Рассмотрение ценовых предложений, дополнительных ценовых предложений осуществляется Закупочной комисс</w:t>
      </w:r>
      <w:r>
        <w:rPr>
          <w:rFonts w:ascii="Times New Roman" w:hAnsi="Times New Roman" w:cs="Times New Roman"/>
          <w:b w:val="0"/>
          <w:bCs w:val="0"/>
        </w:rPr>
        <w:t xml:space="preserve">ией после направления оператором ЕЭТП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в приложении 1 части II «ИНФОРМАЦИОННАЯ КАРТА ЗАКУПКИ», в том числе в части </w:t>
      </w:r>
      <w:r>
        <w:rPr>
          <w:rFonts w:ascii="Times New Roman" w:hAnsi="Times New Roman" w:cs="Times New Roman"/>
          <w:b w:val="0"/>
          <w:bCs w:val="0"/>
        </w:rPr>
        <w:t xml:space="preserve">непревышения</w:t>
      </w:r>
      <w:r>
        <w:rPr>
          <w:rFonts w:ascii="Times New Roman" w:hAnsi="Times New Roman" w:cs="Times New Roman"/>
          <w:b w:val="0"/>
          <w:bCs w:val="0"/>
        </w:rPr>
        <w:t xml:space="preserve"> ценового предложения участника начальной (максимальной) цены договора, </w:t>
      </w:r>
      <w:r>
        <w:rPr>
          <w:rFonts w:ascii="Times New Roman" w:hAnsi="Times New Roman" w:cs="Times New Roman"/>
          <w:b w:val="0"/>
          <w:bCs w:val="0"/>
        </w:rPr>
        <w:t xml:space="preserve">непревышения</w:t>
      </w:r>
      <w:r>
        <w:rPr>
          <w:rFonts w:ascii="Times New Roman" w:hAnsi="Times New Roman" w:cs="Times New Roman"/>
          <w:b w:val="0"/>
          <w:bCs w:val="0"/>
        </w:rPr>
        <w:t xml:space="preserve"> единицы продукции (если такое требование установлено в документации о закупке), соответствие в части соблюдения требований законодательства о национальном режиме и др.</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602" w:name="_Toc89083628"/>
      <w:r/>
      <w:bookmarkStart w:id="603" w:name="_Toc97464637"/>
      <w:r/>
      <w:bookmarkStart w:id="604" w:name="_Toc88823589"/>
      <w:r/>
      <w:bookmarkStart w:id="605" w:name="_Toc78270668"/>
      <w:r/>
      <w:bookmarkStart w:id="606" w:name="_Toc69376445"/>
      <w:r/>
      <w:bookmarkStart w:id="607" w:name="_Toc69112959"/>
      <w:r/>
      <w:bookmarkStart w:id="608" w:name="_Toc103175507"/>
      <w:r/>
      <w:bookmarkStart w:id="609" w:name="_Toc103849696"/>
      <w:r/>
      <w:bookmarkStart w:id="610" w:name="_Toc63765791"/>
      <w:r/>
      <w:bookmarkStart w:id="611" w:name="_Toc106788998"/>
      <w:r/>
      <w:bookmarkStart w:id="612" w:name="_Toc58242340"/>
      <w:r/>
      <w:bookmarkStart w:id="613" w:name="_Toc108612949"/>
      <w:r/>
      <w:bookmarkStart w:id="614" w:name="_Toc110854194"/>
      <w:r/>
      <w:bookmarkStart w:id="615" w:name="_Toc175583301"/>
      <w:r/>
      <w:bookmarkStart w:id="616" w:name="_Toc104378959"/>
      <w:r/>
      <w:bookmarkStart w:id="617" w:name="_Toc106094378"/>
      <w:r/>
      <w:bookmarkStart w:id="618" w:name="_Toc6299394"/>
      <w:r/>
      <w:bookmarkStart w:id="619" w:name="_Toc17735606"/>
      <w:r/>
      <w:bookmarkStart w:id="620" w:name="_Toc33539078"/>
      <w:r/>
      <w:bookmarkStart w:id="621" w:name="_Toc56503403"/>
      <w:r/>
      <w:bookmarkStart w:id="622" w:name="_Toc6913814"/>
      <w:r/>
      <w:bookmarkStart w:id="623" w:name="_Toc4578041"/>
      <w:r/>
      <w:bookmarkStart w:id="624" w:name="_Toc4590462"/>
      <w:r/>
      <w:bookmarkStart w:id="625" w:name="_Toc4075608"/>
      <w:r/>
      <w:bookmarkStart w:id="626" w:name="_Toc3810145"/>
      <w:r/>
      <w:bookmarkStart w:id="627" w:name="_Toc3555496"/>
      <w:r/>
      <w:bookmarkStart w:id="628" w:name="_Toc57630481"/>
      <w:r/>
      <w:bookmarkStart w:id="629" w:name="_Toc47961665"/>
      <w:r/>
      <w:bookmarkStart w:id="630" w:name="_Toc41402333"/>
      <w:r/>
      <w:bookmarkStart w:id="631" w:name="_Toc33084929"/>
      <w:r/>
      <w:bookmarkStart w:id="632" w:name="_Toc31963507"/>
      <w:r/>
      <w:bookmarkStart w:id="633" w:name="_Toc3204429"/>
      <w:r/>
      <w:bookmarkStart w:id="634" w:name="_Toc108512681"/>
      <w:r/>
      <w:bookmarkStart w:id="635" w:name="_Toc52445793"/>
      <w:r/>
      <w:bookmarkStart w:id="636" w:name="_Toc224649992"/>
      <w:r/>
      <w:bookmarkStart w:id="637" w:name="_Toc236307223"/>
      <w:r>
        <w:rPr>
          <w:sz w:val="24"/>
          <w:szCs w:val="24"/>
        </w:rPr>
        <w:t xml:space="preserve">Признание закупки несостоявшейся</w:t>
      </w:r>
      <w:bookmarkEnd w:id="602"/>
      <w:r/>
      <w:bookmarkEnd w:id="603"/>
      <w:r/>
      <w:bookmarkEnd w:id="604"/>
      <w:r/>
      <w:bookmarkEnd w:id="605"/>
      <w:r/>
      <w:bookmarkEnd w:id="606"/>
      <w:r/>
      <w:bookmarkEnd w:id="607"/>
      <w:r/>
      <w:bookmarkEnd w:id="608"/>
      <w:r/>
      <w:bookmarkEnd w:id="609"/>
      <w:r/>
      <w:bookmarkEnd w:id="610"/>
      <w:r/>
      <w:bookmarkEnd w:id="611"/>
      <w:r/>
      <w:bookmarkEnd w:id="612"/>
      <w:r/>
      <w:bookmarkEnd w:id="613"/>
      <w:r/>
      <w:bookmarkEnd w:id="614"/>
      <w:r/>
      <w:bookmarkEnd w:id="615"/>
      <w:r/>
      <w:bookmarkEnd w:id="616"/>
      <w:r/>
      <w:bookmarkEnd w:id="617"/>
      <w:r/>
      <w:bookmarkEnd w:id="618"/>
      <w:r/>
      <w:bookmarkEnd w:id="619"/>
      <w:r/>
      <w:bookmarkEnd w:id="620"/>
      <w:r/>
      <w:bookmarkEnd w:id="621"/>
      <w:r/>
      <w:bookmarkEnd w:id="622"/>
      <w:r/>
      <w:bookmarkEnd w:id="623"/>
      <w:r/>
      <w:bookmarkEnd w:id="624"/>
      <w:r/>
      <w:bookmarkEnd w:id="625"/>
      <w:r/>
      <w:bookmarkEnd w:id="626"/>
      <w:r/>
      <w:bookmarkEnd w:id="627"/>
      <w:r/>
      <w:bookmarkEnd w:id="628"/>
      <w:r/>
      <w:bookmarkEnd w:id="629"/>
      <w:r/>
      <w:bookmarkEnd w:id="630"/>
      <w:r/>
      <w:bookmarkEnd w:id="631"/>
      <w:r/>
      <w:bookmarkEnd w:id="632"/>
      <w:r/>
      <w:bookmarkEnd w:id="633"/>
      <w:r/>
      <w:bookmarkEnd w:id="634"/>
      <w:r/>
      <w:bookmarkEnd w:id="635"/>
      <w:r/>
      <w:bookmarkEnd w:id="636"/>
      <w:r/>
      <w:bookmarkEnd w:id="637"/>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Заказчика. </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638" w:name="_Toc103175508"/>
      <w:r/>
      <w:bookmarkStart w:id="639" w:name="_Toc106094379"/>
      <w:r/>
      <w:bookmarkStart w:id="640" w:name="_Toc3204430"/>
      <w:r/>
      <w:bookmarkStart w:id="641" w:name="_Toc103849697"/>
      <w:r/>
      <w:bookmarkStart w:id="642" w:name="_Toc58242341"/>
      <w:r/>
      <w:bookmarkStart w:id="643" w:name="_Toc69112960"/>
      <w:r/>
      <w:bookmarkStart w:id="644" w:name="_Toc88823590"/>
      <w:r/>
      <w:bookmarkStart w:id="645" w:name="_Toc89083629"/>
      <w:r/>
      <w:bookmarkStart w:id="646" w:name="_Toc69376446"/>
      <w:r/>
      <w:bookmarkStart w:id="647" w:name="_Toc97464638"/>
      <w:r/>
      <w:bookmarkStart w:id="648" w:name="_Toc104378960"/>
      <w:r/>
      <w:bookmarkStart w:id="649" w:name="_Toc106788999"/>
      <w:r/>
      <w:bookmarkStart w:id="650" w:name="_Toc108612950"/>
      <w:r/>
      <w:bookmarkStart w:id="651" w:name="_Toc110854195"/>
      <w:r/>
      <w:bookmarkStart w:id="652" w:name="_Toc175583302"/>
      <w:r/>
      <w:bookmarkStart w:id="653" w:name="_Toc63765792"/>
      <w:r/>
      <w:bookmarkStart w:id="654" w:name="_Toc4590463"/>
      <w:r/>
      <w:bookmarkStart w:id="655" w:name="_Toc52445794"/>
      <w:r/>
      <w:bookmarkStart w:id="656" w:name="_Toc31963508"/>
      <w:r/>
      <w:bookmarkStart w:id="657" w:name="_Toc6913815"/>
      <w:r/>
      <w:bookmarkStart w:id="658" w:name="_Toc6299395"/>
      <w:r/>
      <w:bookmarkStart w:id="659" w:name="_Toc4578042"/>
      <w:r/>
      <w:bookmarkStart w:id="660" w:name="_Toc4075609"/>
      <w:r/>
      <w:bookmarkStart w:id="661" w:name="_Toc3810146"/>
      <w:r/>
      <w:bookmarkStart w:id="662" w:name="_Toc3555497"/>
      <w:r/>
      <w:bookmarkStart w:id="663" w:name="_Toc33539079"/>
      <w:r/>
      <w:bookmarkStart w:id="664" w:name="_Toc108512682"/>
      <w:r/>
      <w:bookmarkStart w:id="665" w:name="_Toc78270669"/>
      <w:r/>
      <w:bookmarkStart w:id="666" w:name="_Toc33084930"/>
      <w:r/>
      <w:bookmarkStart w:id="667" w:name="_Toc56503404"/>
      <w:r/>
      <w:bookmarkStart w:id="668" w:name="_Toc47961666"/>
      <w:r/>
      <w:bookmarkStart w:id="669" w:name="_Toc57630482"/>
      <w:r/>
      <w:bookmarkStart w:id="670" w:name="_Toc41402334"/>
      <w:r/>
      <w:bookmarkStart w:id="671" w:name="_Toc17735607"/>
      <w:r/>
      <w:bookmarkStart w:id="672" w:name="_Toc224649993"/>
      <w:r/>
      <w:bookmarkStart w:id="673" w:name="_Toc236307224"/>
      <w:r>
        <w:rPr>
          <w:sz w:val="24"/>
          <w:szCs w:val="24"/>
        </w:rPr>
        <w:t xml:space="preserve">Рассмотрение жалоб и обращений участников закупки</w:t>
      </w:r>
      <w:bookmarkEnd w:id="638"/>
      <w:r/>
      <w:bookmarkEnd w:id="639"/>
      <w:r/>
      <w:bookmarkEnd w:id="640"/>
      <w:r/>
      <w:bookmarkEnd w:id="641"/>
      <w:r/>
      <w:bookmarkEnd w:id="642"/>
      <w:r/>
      <w:bookmarkEnd w:id="643"/>
      <w:r/>
      <w:bookmarkEnd w:id="644"/>
      <w:r/>
      <w:bookmarkEnd w:id="645"/>
      <w:r/>
      <w:bookmarkEnd w:id="646"/>
      <w:r/>
      <w:bookmarkEnd w:id="647"/>
      <w:r/>
      <w:bookmarkEnd w:id="648"/>
      <w:r/>
      <w:bookmarkEnd w:id="649"/>
      <w:r/>
      <w:bookmarkEnd w:id="650"/>
      <w:r/>
      <w:bookmarkEnd w:id="651"/>
      <w:r/>
      <w:bookmarkEnd w:id="652"/>
      <w:r/>
      <w:bookmarkEnd w:id="653"/>
      <w:r/>
      <w:bookmarkEnd w:id="654"/>
      <w:r/>
      <w:bookmarkEnd w:id="655"/>
      <w:r/>
      <w:bookmarkEnd w:id="656"/>
      <w:r/>
      <w:bookmarkEnd w:id="657"/>
      <w:r/>
      <w:bookmarkEnd w:id="658"/>
      <w:r/>
      <w:bookmarkEnd w:id="659"/>
      <w:r/>
      <w:bookmarkEnd w:id="660"/>
      <w:r/>
      <w:bookmarkEnd w:id="661"/>
      <w:r/>
      <w:bookmarkEnd w:id="662"/>
      <w:r/>
      <w:bookmarkEnd w:id="663"/>
      <w:r/>
      <w:bookmarkEnd w:id="664"/>
      <w:r/>
      <w:bookmarkEnd w:id="665"/>
      <w:r/>
      <w:bookmarkEnd w:id="666"/>
      <w:r/>
      <w:bookmarkEnd w:id="667"/>
      <w:r/>
      <w:bookmarkEnd w:id="668"/>
      <w:r/>
      <w:bookmarkEnd w:id="669"/>
      <w:r/>
      <w:bookmarkEnd w:id="670"/>
      <w:r/>
      <w:bookmarkEnd w:id="671"/>
      <w:r/>
      <w:bookmarkEnd w:id="672"/>
      <w:r/>
      <w:bookmarkEnd w:id="673"/>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Рассмотрение жалоб и обращений участников закупки осуществляется в порядке, предусмотренном Положением о закупке Заказчика.</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В случае необходимости, участник вправе направить в адрес Организатора, указанный в извещении о закупке и документации о закупке </w:t>
      </w:r>
      <w:r>
        <w:rPr>
          <w:rFonts w:ascii="Times New Roman" w:hAnsi="Times New Roman" w:cs="Times New Roman"/>
          <w:b w:val="0"/>
          <w:bCs w:val="0"/>
        </w:rPr>
        <w:t xml:space="preserve">запрос</w:t>
      </w:r>
      <w:r>
        <w:rPr>
          <w:rFonts w:ascii="Times New Roman" w:hAnsi="Times New Roman" w:cs="Times New Roman"/>
          <w:b w:val="0"/>
          <w:bCs w:val="0"/>
        </w:rPr>
        <w:t xml:space="preserve"> о разъяснении причин отклонения заявки такого участника. Заказчик обязан ответить на такой запрос в срок не позднее 10 (десяти) дней с момента получения такого запроса.</w:t>
      </w:r>
      <w:r>
        <w:rPr>
          <w:rFonts w:ascii="Times New Roman" w:hAnsi="Times New Roman" w:cs="Times New Roman"/>
          <w:b w:val="0"/>
          <w:bCs w:val="0"/>
        </w:rPr>
      </w:r>
    </w:p>
    <w:p>
      <w:r/>
      <w:r/>
    </w:p>
    <w:p>
      <w:pPr>
        <w:pStyle w:val="1116"/>
        <w:numPr>
          <w:ilvl w:val="0"/>
          <w:numId w:val="21"/>
        </w:numPr>
        <w:ind w:left="0" w:firstLine="567"/>
        <w:jc w:val="left"/>
        <w:keepNext w:val="0"/>
        <w:spacing w:before="0" w:after="120"/>
        <w:widowControl w:val="off"/>
        <w:rPr>
          <w:sz w:val="24"/>
          <w:szCs w:val="24"/>
        </w:rPr>
      </w:pPr>
      <w:r/>
      <w:bookmarkStart w:id="674" w:name="Par144"/>
      <w:r/>
      <w:bookmarkStart w:id="675" w:name="Par110"/>
      <w:r/>
      <w:bookmarkStart w:id="676" w:name="_Ref125827199_Копия_1"/>
      <w:r/>
      <w:bookmarkStart w:id="677" w:name="_Toc518119388_Копия_1"/>
      <w:r/>
      <w:bookmarkStart w:id="678" w:name="_Toc175583303"/>
      <w:r/>
      <w:bookmarkStart w:id="679" w:name="_Toc166101211"/>
      <w:r/>
      <w:bookmarkStart w:id="680" w:name="_Toc123405485"/>
      <w:r/>
      <w:bookmarkStart w:id="681" w:name="_Toc224649994"/>
      <w:r/>
      <w:bookmarkStart w:id="682" w:name="_Toc236307225"/>
      <w:r/>
      <w:bookmarkEnd w:id="674"/>
      <w:r/>
      <w:bookmarkEnd w:id="675"/>
      <w:r/>
      <w:bookmarkEnd w:id="676"/>
      <w:r/>
      <w:bookmarkEnd w:id="677"/>
      <w:r>
        <w:rPr>
          <w:sz w:val="24"/>
          <w:szCs w:val="24"/>
        </w:rPr>
        <w:t xml:space="preserve">ЗАКЛЮЧЕНИЕ, ИЗМЕНЕНИЕ И РАСТОРЖЕНИЕ ДОГОВОРА</w:t>
      </w:r>
      <w:bookmarkEnd w:id="678"/>
      <w:r/>
      <w:bookmarkEnd w:id="679"/>
      <w:r/>
      <w:bookmarkEnd w:id="680"/>
      <w:r/>
      <w:bookmarkEnd w:id="681"/>
      <w:r/>
      <w:bookmarkEnd w:id="682"/>
      <w:r/>
      <w:r>
        <w:rPr>
          <w:sz w:val="24"/>
          <w:szCs w:val="24"/>
        </w:rPr>
      </w:r>
    </w:p>
    <w:p>
      <w:pPr>
        <w:pStyle w:val="1117"/>
        <w:numPr>
          <w:ilvl w:val="1"/>
          <w:numId w:val="21"/>
        </w:numPr>
        <w:ind w:left="0" w:firstLine="567"/>
        <w:jc w:val="both"/>
        <w:keepNext w:val="0"/>
        <w:spacing w:after="120"/>
        <w:widowControl w:val="off"/>
        <w:rPr>
          <w:sz w:val="24"/>
          <w:szCs w:val="24"/>
        </w:rPr>
      </w:pPr>
      <w:r/>
      <w:bookmarkStart w:id="683" w:name="_Ref130891676"/>
      <w:r/>
      <w:bookmarkStart w:id="684" w:name="_Toc131309087"/>
      <w:r/>
      <w:bookmarkStart w:id="685" w:name="_Toc3204432"/>
      <w:r/>
      <w:bookmarkStart w:id="686" w:name="_Toc175583304"/>
      <w:r/>
      <w:bookmarkStart w:id="687" w:name="_Toc224649995"/>
      <w:r/>
      <w:bookmarkStart w:id="688" w:name="_Toc236307226"/>
      <w:r/>
      <w:bookmarkEnd w:id="683"/>
      <w:r>
        <w:rPr>
          <w:sz w:val="24"/>
          <w:szCs w:val="24"/>
        </w:rPr>
        <w:t xml:space="preserve">Срок и порядок заключения договора</w:t>
      </w:r>
      <w:bookmarkEnd w:id="684"/>
      <w:r/>
      <w:bookmarkEnd w:id="685"/>
      <w:r/>
      <w:bookmarkEnd w:id="686"/>
      <w:r/>
      <w:bookmarkEnd w:id="687"/>
      <w:r/>
      <w:bookmarkEnd w:id="688"/>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rPr>
        <w:t xml:space="preserve">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Pr>
          <w:rFonts w:ascii="Times New Roman" w:hAnsi="Times New Roman" w:cs="Times New Roman"/>
          <w:b w:val="0"/>
          <w:bCs w:val="0"/>
        </w:rPr>
        <w:t xml:space="preserve">. По результатам закупки с участником может быть заключено также несколько договоров. Заказчик вправе заключить договор с участником, занявшим второе место в </w:t>
      </w:r>
      <w:r>
        <w:rPr>
          <w:rFonts w:ascii="Times New Roman" w:hAnsi="Times New Roman" w:cs="Times New Roman"/>
          <w:b w:val="0"/>
          <w:bCs w:val="0"/>
        </w:rPr>
        <w:t xml:space="preserve">ранжировке</w:t>
      </w:r>
      <w:r>
        <w:rPr>
          <w:rFonts w:ascii="Times New Roman" w:hAnsi="Times New Roman" w:cs="Times New Roman"/>
          <w:b w:val="0"/>
          <w:bCs w:val="0"/>
        </w:rPr>
        <w:t xml:space="preserve">, в случае уклонения первоначального победителя от заключения договора с Заказчиком. </w:t>
      </w:r>
      <w:r>
        <w:rPr>
          <w:rFonts w:ascii="Times New Roman" w:hAnsi="Times New Roman" w:cs="Times New Roman"/>
          <w:b w:val="0"/>
        </w:rPr>
        <w:t xml:space="preserve">В этом случае обязанность заключить договор с Заказчиком возникает у участника, занявшего второе место в </w:t>
      </w:r>
      <w:r>
        <w:rPr>
          <w:rFonts w:ascii="Times New Roman" w:hAnsi="Times New Roman" w:cs="Times New Roman"/>
          <w:b w:val="0"/>
        </w:rPr>
        <w:t xml:space="preserve">ранжировке</w:t>
      </w:r>
      <w:r>
        <w:rPr>
          <w:rFonts w:ascii="Times New Roman" w:hAnsi="Times New Roman" w:cs="Times New Roman"/>
          <w:b w:val="0"/>
        </w:rPr>
        <w:t xml:space="preserve">, при обращении к нему Заказчика с предложением заключить договор</w:t>
      </w:r>
      <w:r>
        <w:rPr>
          <w:rFonts w:ascii="Times New Roman" w:hAnsi="Times New Roman" w:cs="Times New Roman"/>
          <w:b w:val="0"/>
          <w:bCs w:val="0"/>
        </w:rPr>
        <w:t xml:space="preserve">.</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Заказчиком может быть предусмотрена возможность заключения договора по результатам закупки </w:t>
      </w:r>
      <w:r>
        <w:rPr>
          <w:rFonts w:ascii="Times New Roman" w:hAnsi="Times New Roman" w:cs="Times New Roman"/>
          <w:b w:val="0"/>
          <w:bCs w:val="0"/>
        </w:rPr>
        <w:t xml:space="preserve">с несколькими участниками, признанными победителями закупки. Информация об установлении такой возможности указывается в пункте 19 части II «ИНФОРМАЦИОННАЯ КАРТА ЗАКУПКИ». Порядок выбора нескольких победителей закупки устанавливается в Приложении 1 к части </w:t>
      </w:r>
      <w:r>
        <w:rPr>
          <w:rFonts w:ascii="Times New Roman" w:hAnsi="Times New Roman" w:cs="Times New Roman"/>
          <w:b w:val="0"/>
          <w:bCs w:val="0"/>
          <w:lang w:val="en-US"/>
        </w:rPr>
        <w:t xml:space="preserve">II</w:t>
      </w:r>
      <w:r>
        <w:rPr>
          <w:rFonts w:ascii="Times New Roman" w:hAnsi="Times New Roman" w:cs="Times New Roman"/>
          <w:b w:val="0"/>
          <w:bCs w:val="0"/>
        </w:rPr>
        <w:t xml:space="preserve"> «ИНФОРМАЦИОННАЯ КАРТА ЗАКУПКИ».</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Договор по результатам закупки заключается с использованием программно-аппаратных средств ЕЭТП и должен быть подписан электронной подписью лиц, имеющих право действовать от имени участника такой закупки и Заказчика соответственно.</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w:t>
      </w:r>
      <w:r>
        <w:rPr>
          <w:rFonts w:ascii="Times New Roman" w:hAnsi="Times New Roman" w:cs="Times New Roman"/>
          <w:b w:val="0"/>
          <w:bCs w:val="0"/>
        </w:rPr>
        <w:t xml:space="preserve">с даты размещения</w:t>
      </w:r>
      <w:r>
        <w:rPr>
          <w:rFonts w:ascii="Times New Roman" w:hAnsi="Times New Roman" w:cs="Times New Roman"/>
          <w:b w:val="0"/>
          <w:bCs w:val="0"/>
        </w:rPr>
        <w:t xml:space="preserve"> в ЕИС итогового протокола. В случае необходимости одобрения органом управления Заказчика в соответствии с законодательством Российской Феде</w:t>
      </w:r>
      <w:r>
        <w:rPr>
          <w:rFonts w:ascii="Times New Roman" w:hAnsi="Times New Roman" w:cs="Times New Roman"/>
          <w:b w:val="0"/>
          <w:bCs w:val="0"/>
        </w:rPr>
        <w:t xml:space="preserve">рации заключения договора или в случае обжалования в антимонопольном органе либо в судебном порядке действий (бездействия) Заказчика, закупочной комиссии, оператора электронной площадки договор должен быть заключен в сроки, установленные законодательством.</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До заключения договора, но не позднее 2 (двух) рабочих дней со дня, следующего за днем размещения в ЕИС итогового протокола, участник, признанный победителем, должен направить Заказчику:</w:t>
      </w:r>
      <w:r>
        <w:rPr>
          <w:rFonts w:ascii="Times New Roman" w:hAnsi="Times New Roman" w:cs="Times New Roman"/>
          <w:b w:val="0"/>
          <w:bCs w:val="0"/>
        </w:rPr>
      </w:r>
    </w:p>
    <w:p>
      <w:pPr>
        <w:pStyle w:val="1118"/>
        <w:numPr>
          <w:ilvl w:val="2"/>
          <w:numId w:val="22"/>
        </w:numPr>
        <w:ind w:left="1560" w:hanging="851"/>
        <w:keepNext w:val="0"/>
        <w:spacing w:before="0" w:after="120"/>
        <w:widowControl w:val="off"/>
        <w:tabs>
          <w:tab w:val="left" w:pos="1560" w:leader="none"/>
        </w:tabs>
        <w:rPr>
          <w:rFonts w:ascii="Times New Roman" w:hAnsi="Times New Roman" w:cs="Times New Roman"/>
          <w:b w:val="0"/>
          <w:bCs w:val="0"/>
        </w:rPr>
      </w:pPr>
      <w:r>
        <w:rPr>
          <w:rFonts w:ascii="Times New Roman" w:hAnsi="Times New Roman" w:cs="Times New Roman"/>
          <w:b w:val="0"/>
          <w:bCs w:val="0"/>
        </w:rPr>
        <w:t xml:space="preserve">сведения в отношении всей цепочки своих собственников, включая конечных бенефициаров, а также в отношении состава исполнительных органов (</w:t>
      </w:r>
      <w:r>
        <w:rPr>
          <w:rFonts w:ascii="Times New Roman" w:hAnsi="Times New Roman" w:cs="Times New Roman"/>
          <w:b w:val="0"/>
          <w:bCs w:val="0"/>
        </w:rPr>
        <w:t xml:space="preserve">согласно разделу 6</w:t>
      </w:r>
      <w:r>
        <w:rPr>
          <w:rFonts w:ascii="Times New Roman" w:hAnsi="Times New Roman" w:cs="Times New Roman"/>
          <w:b w:val="0"/>
          <w:bCs w:val="0"/>
        </w:rPr>
        <w:t xml:space="preserve"> части IV «Проект договора» настоящей документации о закупке) с приложением подтверждающих представленной в справке о цепочке собственников документов</w:t>
      </w:r>
      <w:r>
        <w:rPr>
          <w:rStyle w:val="1166"/>
          <w:b w:val="0"/>
          <w:bCs w:val="0"/>
        </w:rPr>
        <w:footnoteReference w:id="4"/>
      </w:r>
      <w:r>
        <w:rPr>
          <w:rFonts w:ascii="Times New Roman" w:hAnsi="Times New Roman" w:cs="Times New Roman"/>
          <w:b w:val="0"/>
          <w:bCs w:val="0"/>
        </w:rPr>
        <w:t xml:space="preserve">, в зависимости от его организационно-правовой формы Участника:</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 </w:t>
      </w:r>
      <w:r>
        <w:rPr>
          <w:rFonts w:ascii="Times New Roman" w:hAnsi="Times New Roman" w:cs="Times New Roman"/>
          <w:b w:val="0"/>
          <w:bCs w:val="0"/>
          <w:u w:val="single"/>
        </w:rPr>
        <w:t xml:space="preserve">Российские акционерные общества</w:t>
      </w:r>
      <w:r>
        <w:rPr>
          <w:rFonts w:ascii="Times New Roman" w:hAnsi="Times New Roman" w:cs="Times New Roman"/>
          <w:b w:val="0"/>
          <w:bCs w:val="0"/>
        </w:rPr>
        <w:t xml:space="preserve">:</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рее</w:t>
      </w:r>
      <w:r>
        <w:rPr>
          <w:rFonts w:ascii="Times New Roman" w:hAnsi="Times New Roman" w:cs="Times New Roman"/>
          <w:b w:val="0"/>
          <w:bCs w:val="0"/>
        </w:rPr>
        <w:t xml:space="preserve">стр / выписка из реестра акционеров/ список владельцев ценных бумаг, оформленные в соответствии с требованиями законодательства Российской Федерации. Срок действия (на дату представления в комплекте документов) - не более 60 (шестидесяти) календарных дней </w:t>
      </w:r>
      <w:r>
        <w:rPr>
          <w:rFonts w:ascii="Times New Roman" w:hAnsi="Times New Roman" w:cs="Times New Roman"/>
          <w:b w:val="0"/>
          <w:bCs w:val="0"/>
        </w:rPr>
        <w:t xml:space="preserve">с даты выдачи</w:t>
      </w:r>
      <w:r>
        <w:rPr>
          <w:rFonts w:ascii="Times New Roman" w:hAnsi="Times New Roman" w:cs="Times New Roman"/>
          <w:b w:val="0"/>
          <w:bCs w:val="0"/>
        </w:rPr>
        <w:t xml:space="preserve"> уполномоченным органом, либо список аффилированных лиц общества на последнюю отчетную дату (в случае, если в нем раскрыты сведения в отношении владельцев 100% уставного капитала).</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 </w:t>
      </w:r>
      <w:r>
        <w:rPr>
          <w:rFonts w:ascii="Times New Roman" w:hAnsi="Times New Roman" w:cs="Times New Roman"/>
          <w:b w:val="0"/>
          <w:bCs w:val="0"/>
          <w:u w:val="single"/>
        </w:rPr>
        <w:t xml:space="preserve">Индивидуальные предприниматели/физические лица</w:t>
      </w:r>
      <w:r>
        <w:rPr>
          <w:rFonts w:ascii="Times New Roman" w:hAnsi="Times New Roman" w:cs="Times New Roman"/>
          <w:b w:val="0"/>
          <w:bCs w:val="0"/>
        </w:rPr>
        <w:t xml:space="preserve">:</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копии паспортов;</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копии ИНН.</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 </w:t>
      </w:r>
      <w:r>
        <w:rPr>
          <w:rFonts w:ascii="Times New Roman" w:hAnsi="Times New Roman" w:cs="Times New Roman"/>
          <w:b w:val="0"/>
          <w:bCs w:val="0"/>
          <w:u w:val="single"/>
        </w:rPr>
        <w:t xml:space="preserve">Для юридических лиц - нерезидентов Российской Федерации</w:t>
      </w:r>
      <w:r>
        <w:rPr>
          <w:rFonts w:ascii="Times New Roman" w:hAnsi="Times New Roman" w:cs="Times New Roman"/>
          <w:b w:val="0"/>
          <w:bCs w:val="0"/>
        </w:rPr>
        <w:t xml:space="preserve">:</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копии документов, выданных уполномоченными органами страны, в которой зарегистри</w:t>
      </w:r>
      <w:r>
        <w:rPr>
          <w:rFonts w:ascii="Times New Roman" w:hAnsi="Times New Roman" w:cs="Times New Roman"/>
          <w:b w:val="0"/>
          <w:bCs w:val="0"/>
        </w:rPr>
        <w:t xml:space="preserve">ровано (инкорпорировано) юридическое лицо, и содержащие в себе все необходимые и достоверные сведения об акционерах (участниках) такого юридического лица в соответствии с применимым правом. В случае если учет сведений об учредителях (акционерах) передан ко</w:t>
      </w:r>
      <w:r>
        <w:rPr>
          <w:rFonts w:ascii="Times New Roman" w:hAnsi="Times New Roman" w:cs="Times New Roman"/>
          <w:b w:val="0"/>
          <w:bCs w:val="0"/>
        </w:rPr>
        <w:t xml:space="preserve">ммерческой организации в соответствии с законодательством, необходимо представить документ, подтверждающий наличие у коммерческой организации, осуществляющей регистрацию (ведение реестра) соответствующих полномочий. Документы представляются легализованные </w:t>
      </w:r>
      <w:r>
        <w:rPr>
          <w:rFonts w:ascii="Times New Roman" w:hAnsi="Times New Roman" w:cs="Times New Roman"/>
          <w:b w:val="0"/>
          <w:bCs w:val="0"/>
        </w:rPr>
        <w:t xml:space="preserve">апостилем</w:t>
      </w:r>
      <w:r>
        <w:rPr>
          <w:rFonts w:ascii="Times New Roman" w:hAnsi="Times New Roman" w:cs="Times New Roman"/>
          <w:b w:val="0"/>
          <w:bCs w:val="0"/>
        </w:rPr>
        <w:t xml:space="preserve"> (для стран-участниц Гаагской конвенции от 5 октября 1961 г.) с копией нотариально удостоверенного перевода либо в соответствии с иными действующими международными </w:t>
      </w:r>
      <w:r>
        <w:rPr>
          <w:rFonts w:ascii="Times New Roman" w:hAnsi="Times New Roman" w:cs="Times New Roman"/>
          <w:b w:val="0"/>
          <w:bCs w:val="0"/>
        </w:rPr>
        <w:t xml:space="preserve">договорами;</w:t>
      </w:r>
      <w:r>
        <w:rPr>
          <w:rFonts w:ascii="Times New Roman" w:hAnsi="Times New Roman" w:cs="Times New Roman"/>
          <w:b w:val="0"/>
          <w:bCs w:val="0"/>
        </w:rPr>
      </w:r>
    </w:p>
    <w:p>
      <w:pPr>
        <w:pStyle w:val="1118"/>
        <w:ind w:left="1560"/>
        <w:keepNext w:val="0"/>
        <w:spacing w:before="0" w:after="120"/>
        <w:widowControl w:val="off"/>
        <w:tabs>
          <w:tab w:val="clear" w:pos="312" w:leader="none"/>
        </w:tabs>
        <w:rPr>
          <w:rFonts w:ascii="Times New Roman" w:hAnsi="Times New Roman" w:cs="Times New Roman"/>
          <w:b w:val="0"/>
          <w:bCs w:val="0"/>
        </w:rPr>
      </w:pPr>
      <w:r>
        <w:rPr>
          <w:rFonts w:ascii="Times New Roman" w:hAnsi="Times New Roman" w:cs="Times New Roman"/>
          <w:b w:val="0"/>
          <w:bCs w:val="0"/>
        </w:rPr>
        <w:t xml:space="preserve">срок действия (на момент представления) - не более 90 (девяносто) календарных дней </w:t>
      </w:r>
      <w:r>
        <w:rPr>
          <w:rFonts w:ascii="Times New Roman" w:hAnsi="Times New Roman" w:cs="Times New Roman"/>
          <w:b w:val="0"/>
          <w:bCs w:val="0"/>
        </w:rPr>
        <w:t xml:space="preserve">с даты выдачи</w:t>
      </w:r>
      <w:r>
        <w:rPr>
          <w:rFonts w:ascii="Times New Roman" w:hAnsi="Times New Roman" w:cs="Times New Roman"/>
          <w:b w:val="0"/>
          <w:bCs w:val="0"/>
        </w:rPr>
        <w:t xml:space="preserve"> уполномоченным органом. Документы, выданные уполномоченным органом более 90 (девяносто) дней до представления, но не более одного года представляются с сопроводительным письмом об отсутствии изменений за указанный период.</w:t>
      </w:r>
      <w:r>
        <w:rPr>
          <w:rFonts w:ascii="Times New Roman" w:hAnsi="Times New Roman" w:cs="Times New Roman"/>
          <w:b w:val="0"/>
          <w:bCs w:val="0"/>
        </w:rPr>
      </w:r>
    </w:p>
    <w:p>
      <w:pPr>
        <w:ind w:left="1560"/>
        <w:spacing w:after="120"/>
        <w:widowControl w:val="off"/>
      </w:pPr>
      <w:r>
        <w:t xml:space="preserve">В случае если акции (доли) находятся в доверительном управлении, подт</w:t>
      </w:r>
      <w:r>
        <w:t xml:space="preserve">верждающим документом является письмо от акционерного общества, акции которого находятся в доверительном управлении или от организации, осуществляющей доверительное управления, с указанием собственника акций (долей), переданных в доверительного управление.</w:t>
      </w:r>
      <w:r>
        <w:t xml:space="preserve"> Если собственником акций (долей</w:t>
      </w:r>
      <w:r>
        <w:t xml:space="preserve">), переданных в доверительное управление, является юридическое лицо, то в зависимости от организационно-правовой формы, необходимо представить подтверждающие документы в отношении всей цепочки его собственников, включая бенефициаров (в том числе конечных);</w:t>
      </w:r>
      <w:r/>
    </w:p>
    <w:p>
      <w:pPr>
        <w:pStyle w:val="1118"/>
        <w:numPr>
          <w:ilvl w:val="2"/>
          <w:numId w:val="22"/>
        </w:numPr>
        <w:ind w:left="1560" w:hanging="851"/>
        <w:keepNext w:val="0"/>
        <w:spacing w:before="0" w:after="120"/>
        <w:widowControl w:val="off"/>
        <w:tabs>
          <w:tab w:val="left" w:pos="1560" w:leader="none"/>
        </w:tabs>
        <w:rPr>
          <w:rFonts w:ascii="Times New Roman" w:hAnsi="Times New Roman" w:cs="Times New Roman"/>
          <w:b w:val="0"/>
          <w:bCs w:val="0"/>
        </w:rPr>
      </w:pPr>
      <w:r>
        <w:rPr>
          <w:rFonts w:ascii="Times New Roman" w:hAnsi="Times New Roman" w:cs="Times New Roman"/>
          <w:b w:val="0"/>
          <w:bCs w:val="0"/>
        </w:rPr>
        <w:t xml:space="preserve">согласие на обработку персональных данных </w:t>
      </w:r>
      <w:r>
        <w:rPr>
          <w:rFonts w:ascii="Times New Roman" w:hAnsi="Times New Roman" w:cs="Times New Roman"/>
          <w:b w:val="0"/>
          <w:bCs w:val="0"/>
        </w:rPr>
        <w:t xml:space="preserve">согласно разделу 6 </w:t>
      </w:r>
      <w:r>
        <w:rPr>
          <w:rFonts w:ascii="Times New Roman" w:hAnsi="Times New Roman" w:cs="Times New Roman"/>
          <w:b w:val="0"/>
          <w:bCs w:val="0"/>
        </w:rPr>
        <w:t xml:space="preserve">части IV «Проект договора» Настоящей документации о закупке.</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Заказчик направляет проект договора не позднее 2 (двух) рабочих дней </w:t>
      </w:r>
      <w:r>
        <w:rPr>
          <w:rFonts w:ascii="Times New Roman" w:hAnsi="Times New Roman" w:cs="Times New Roman"/>
          <w:b w:val="0"/>
          <w:bCs w:val="0"/>
        </w:rPr>
        <w:t xml:space="preserve">с даты согласования</w:t>
      </w:r>
      <w:r>
        <w:rPr>
          <w:rFonts w:ascii="Times New Roman" w:hAnsi="Times New Roman" w:cs="Times New Roman"/>
          <w:b w:val="0"/>
          <w:bCs w:val="0"/>
        </w:rPr>
        <w:t xml:space="preserve"> проекта договора в соответствии с порядком, установленным внутренними организационно-распорядительными документами Заказчика. </w:t>
      </w:r>
      <w:r>
        <w:rPr>
          <w:rFonts w:ascii="Times New Roman" w:hAnsi="Times New Roman" w:cs="Times New Roman"/>
          <w:b w:val="0"/>
          <w:bCs w:val="0"/>
        </w:rPr>
        <w:t xml:space="preserve">Участник заполняет все приложения к договору, которые содержат указание на окончательную цену договора (стоимость товаров/работ/услуг), предло</w:t>
      </w:r>
      <w:r>
        <w:rPr>
          <w:rFonts w:ascii="Times New Roman" w:hAnsi="Times New Roman" w:cs="Times New Roman"/>
          <w:b w:val="0"/>
          <w:bCs w:val="0"/>
        </w:rPr>
        <w:t xml:space="preserve">женную участником в ходе проведения закупки, подписывает электронной подписью проект договора и все приложения к нему в течение 3 (трех) рабочих дней с даты направления ему проекта договора Заказчиком и направляет подписанный комплект документов Заказчику.</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bCs w:val="0"/>
        </w:rPr>
      </w:pPr>
      <w:r>
        <w:rPr>
          <w:rFonts w:ascii="Times New Roman" w:hAnsi="Times New Roman" w:cs="Times New Roman"/>
          <w:b w:val="0"/>
          <w:bCs w:val="0"/>
        </w:rPr>
        <w:t xml:space="preserve">В случае наличия разногласий по проекту договора, направленному заказчиком, участник</w:t>
      </w:r>
      <w:r>
        <w:rPr>
          <w:rFonts w:ascii="Times New Roman" w:hAnsi="Times New Roman" w:cs="Times New Roman"/>
          <w:b w:val="0"/>
        </w:rPr>
        <w:t xml:space="preserve"> с которым заключается </w:t>
      </w:r>
      <w:r>
        <w:rPr>
          <w:rFonts w:ascii="Times New Roman" w:hAnsi="Times New Roman" w:cs="Times New Roman"/>
          <w:b w:val="0"/>
        </w:rPr>
        <w:t xml:space="preserve">договор</w:t>
      </w:r>
      <w:r>
        <w:rPr>
          <w:rFonts w:ascii="Times New Roman" w:hAnsi="Times New Roman" w:cs="Times New Roman"/>
          <w:b w:val="0"/>
          <w:bCs w:val="0"/>
        </w:rPr>
        <w:t xml:space="preserve"> составляет протокол разногласий с </w:t>
      </w:r>
      <w:r>
        <w:rPr>
          <w:rFonts w:ascii="Times New Roman" w:hAnsi="Times New Roman" w:cs="Times New Roman"/>
          <w:b w:val="0"/>
          <w:bCs w:val="0"/>
        </w:rPr>
        <w:t xml:space="preserve">указанием замечаний к положениям 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w:t>
      </w:r>
      <w:r>
        <w:rPr>
          <w:rFonts w:ascii="Times New Roman" w:hAnsi="Times New Roman" w:cs="Times New Roman"/>
          <w:b w:val="0"/>
          <w:bCs w:val="0"/>
        </w:rPr>
        <w:t xml:space="preserve">но-аппаратных средств электронной площадки в срок не более 2 (двух) рабочих дней с момента получения проекта договора. Заказчик в срок не более 2 (двух) рабочих дней с момента получения протокола разногласий рассматривает протокол разногласий и направляет </w:t>
      </w:r>
      <w:r>
        <w:rPr>
          <w:rFonts w:ascii="Times New Roman" w:hAnsi="Times New Roman" w:cs="Times New Roman"/>
          <w:b w:val="0"/>
          <w:bCs w:val="0"/>
        </w:rPr>
        <w:t xml:space="preserve">участнику</w:t>
      </w:r>
      <w:r>
        <w:rPr>
          <w:rFonts w:ascii="Times New Roman" w:hAnsi="Times New Roman" w:cs="Times New Roman"/>
          <w:b w:val="0"/>
        </w:rPr>
        <w:t xml:space="preserve"> с которым заключается договор,</w:t>
      </w:r>
      <w:r>
        <w:rPr>
          <w:rFonts w:ascii="Times New Roman" w:hAnsi="Times New Roman" w:cs="Times New Roman"/>
          <w:b w:val="0"/>
          <w:bCs w:val="0"/>
        </w:rPr>
        <w:t xml:space="preserve"> дор</w:t>
      </w:r>
      <w:r>
        <w:rPr>
          <w:rFonts w:ascii="Times New Roman" w:hAnsi="Times New Roman" w:cs="Times New Roman"/>
          <w:b w:val="0"/>
          <w:bCs w:val="0"/>
        </w:rPr>
        <w:t xml:space="preserve">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689" w:name="_Toc376160927"/>
      <w:r/>
      <w:bookmarkStart w:id="690" w:name="_Toc3204433"/>
      <w:r/>
      <w:bookmarkStart w:id="691" w:name="_Toc373399298"/>
      <w:r/>
      <w:bookmarkStart w:id="692" w:name="_Toc175583305"/>
      <w:r/>
      <w:bookmarkStart w:id="693" w:name="_Toc224649996"/>
      <w:r/>
      <w:bookmarkStart w:id="694" w:name="_Toc236307227"/>
      <w:r>
        <w:rPr>
          <w:sz w:val="24"/>
          <w:szCs w:val="24"/>
        </w:rPr>
        <w:t xml:space="preserve">Обеспечение исполнения договора, порядок предоставления такого обеспечения, требования к такому обеспечению</w:t>
      </w:r>
      <w:bookmarkEnd w:id="689"/>
      <w:r/>
      <w:bookmarkEnd w:id="690"/>
      <w:r/>
      <w:bookmarkEnd w:id="691"/>
      <w:r/>
      <w:bookmarkEnd w:id="692"/>
      <w:r/>
      <w:bookmarkEnd w:id="693"/>
      <w:r/>
      <w:bookmarkEnd w:id="694"/>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bookmarkStart w:id="695" w:name="_Toc373343360"/>
      <w:r/>
      <w:bookmarkStart w:id="696" w:name="_Toc373343845"/>
      <w:r/>
      <w:bookmarkEnd w:id="695"/>
      <w:r/>
      <w:bookmarkEnd w:id="696"/>
      <w:r>
        <w:rPr>
          <w:rFonts w:ascii="Times New Roman" w:hAnsi="Times New Roman" w:cs="Times New Roman"/>
          <w:b w:val="0"/>
        </w:rPr>
        <w:t xml:space="preserve">Заказчик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с </w:t>
      </w:r>
      <w:r>
        <w:rPr>
          <w:rFonts w:ascii="Times New Roman" w:hAnsi="Times New Roman" w:cs="Times New Roman"/>
          <w:b w:val="0"/>
        </w:rPr>
        <w:t xml:space="preserve">НДС, либо в размере аванса (если договором предусмотрена выплата аванса). Информация об установлении требования о предоставлении обеспечения исполнения договора и размер такого обеспечения указывается в пункте 16 раздела II «ИНФОРМАЦИОННАЯ КАРТА ЗАКУПКИ». </w:t>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bookmarkStart w:id="697" w:name="_Toc373343356"/>
      <w:r/>
      <w:bookmarkStart w:id="698" w:name="_Toc373343841"/>
      <w:r>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Заказчика, указанный в пункте 17 раздела II </w:t>
      </w:r>
      <w:r>
        <w:rPr>
          <w:rFonts w:ascii="Times New Roman" w:hAnsi="Times New Roman" w:cs="Times New Roman"/>
          <w:b w:val="0"/>
        </w:rPr>
        <w:t xml:space="preserve">«ИНФОРМАЦИОННАЯ КАРТА ЗАКУПКИ» или в форме независимой гарантии. Выбор способа обеспечения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bookmarkEnd w:id="697"/>
      <w:r/>
      <w:bookmarkEnd w:id="698"/>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Срок предоставления обеспечения исполнения договора устанавливается в пункте 16 раздела II «ИНФОРМАЦИОННАЯ КАРТА ЗАКУПКИ».</w:t>
      </w:r>
      <w:bookmarkStart w:id="699" w:name="_Toc373343360_Копия_1"/>
      <w:r/>
      <w:bookmarkStart w:id="700" w:name="_Toc373343845_Копия_1"/>
      <w:r/>
      <w:bookmarkStart w:id="701" w:name="_Ref130891676_Копия_1"/>
      <w:r/>
      <w:bookmarkEnd w:id="699"/>
      <w:r/>
      <w:bookmarkEnd w:id="700"/>
      <w:r/>
      <w:bookmarkEnd w:id="701"/>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Требования к усло</w:t>
      </w:r>
      <w:r>
        <w:rPr>
          <w:rFonts w:ascii="Times New Roman" w:hAnsi="Times New Roman" w:cs="Times New Roman"/>
          <w:b w:val="0"/>
        </w:rPr>
        <w:t xml:space="preserve">виям независимой гарантии, выданной в качестве обеспечения исполнения договора, порядок возврата денежных средств, внесенных в качестве обеспечения исполнения договора, установлены в проекте договора, являющегося неотъемлемой частью настоящей документации.</w:t>
      </w:r>
      <w:r>
        <w:rPr>
          <w:rFonts w:ascii="Times New Roman" w:hAnsi="Times New Roman" w:cs="Times New Roman"/>
          <w:b w:val="0"/>
        </w:rPr>
      </w:r>
    </w:p>
    <w:p>
      <w:r/>
      <w:r/>
    </w:p>
    <w:p>
      <w:pPr>
        <w:pStyle w:val="1117"/>
        <w:numPr>
          <w:ilvl w:val="1"/>
          <w:numId w:val="21"/>
        </w:numPr>
        <w:ind w:left="0" w:firstLine="709"/>
        <w:jc w:val="both"/>
        <w:keepNext w:val="0"/>
        <w:spacing w:after="120"/>
        <w:widowControl w:val="off"/>
        <w:tabs>
          <w:tab w:val="left" w:pos="0" w:leader="none"/>
        </w:tabs>
        <w:rPr>
          <w:sz w:val="24"/>
          <w:szCs w:val="24"/>
        </w:rPr>
      </w:pPr>
      <w:r/>
      <w:bookmarkStart w:id="702" w:name="_Toc195264490"/>
      <w:r/>
      <w:bookmarkStart w:id="703" w:name="_Toc236307228"/>
      <w:r>
        <w:rPr>
          <w:sz w:val="24"/>
          <w:szCs w:val="24"/>
        </w:rPr>
        <w:t xml:space="preserve">Порядок предоставления обеспечения исполнения обязательств по договору в случае заключения договора по аномально низкой цене.</w:t>
      </w:r>
      <w:bookmarkEnd w:id="702"/>
      <w:r/>
      <w:bookmarkEnd w:id="703"/>
      <w:r/>
      <w:r>
        <w:rPr>
          <w:sz w:val="24"/>
          <w:szCs w:val="24"/>
        </w:rPr>
      </w:r>
    </w:p>
    <w:p>
      <w:pPr>
        <w:pStyle w:val="1352"/>
        <w:numPr>
          <w:ilvl w:val="2"/>
          <w:numId w:val="21"/>
        </w:numPr>
        <w:ind w:left="0" w:firstLine="709"/>
        <w:jc w:val="both"/>
        <w:spacing w:after="120"/>
        <w:rPr>
          <w:b/>
        </w:rPr>
      </w:pPr>
      <w:r>
        <w:t xml:space="preserve">Под аномально низким ценовым предложением понимается снижение цены участником закупки относительно начальной (максимальной) цены договора, указанной в извещении и/или документации о закупке на 25 (двадцать пять) и более процентов. </w:t>
      </w:r>
      <w:r>
        <w:t xml:space="preserve">При расчете размера проц</w:t>
      </w:r>
      <w:r>
        <w:t xml:space="preserve">ента снижения для определения аномально низкой цены предложения применяется значение цены Победителя/Участника, в отношении которого принято решение о заключение договора) с учетом всех налогов и сборов, независимо от применяемой им системы налогообложения</w:t>
      </w:r>
      <w:r>
        <w:rPr>
          <w:bCs/>
        </w:rPr>
        <w:t xml:space="preserve">.</w:t>
      </w:r>
      <w:r>
        <w:rPr>
          <w:b/>
        </w:rPr>
      </w:r>
    </w:p>
    <w:p>
      <w:pPr>
        <w:pStyle w:val="1352"/>
        <w:numPr>
          <w:ilvl w:val="2"/>
          <w:numId w:val="21"/>
        </w:numPr>
        <w:ind w:left="0" w:firstLine="567"/>
        <w:jc w:val="both"/>
        <w:spacing w:after="120"/>
        <w:rPr>
          <w:b/>
        </w:rPr>
      </w:pPr>
      <w:r/>
      <w:bookmarkStart w:id="704" w:name="_Ref4407664"/>
      <w:r>
        <w:t xml:space="preserve">В случае если при проведении закупки победителем (либо единственным участником, признанным соответствующим требованиям извещ</w:t>
      </w:r>
      <w:r>
        <w:t xml:space="preserve">ения и/или документации о закупке) признается участник, предложивший аномально низкое ценовое предложение, таким участником до заключения договора должно быть предоставлено обеспечение исполнения обязательств по договору в порядке и сроки, установленные в </w:t>
      </w:r>
      <w:r>
        <w:rPr>
          <w:bCs/>
        </w:rPr>
        <w:t xml:space="preserve">настоящем извещении</w:t>
      </w:r>
      <w:r>
        <w:t xml:space="preserve"> о закупке, в следующем размере:</w:t>
      </w:r>
      <w:bookmarkEnd w:id="704"/>
      <w:r/>
      <w:r>
        <w:rPr>
          <w:b/>
        </w:rPr>
      </w:r>
    </w:p>
    <w:p>
      <w:pPr>
        <w:pStyle w:val="1352"/>
        <w:ind w:left="567"/>
        <w:jc w:val="both"/>
        <w:rPr>
          <w:b/>
        </w:rPr>
      </w:pPr>
      <w:r>
        <w:rPr>
          <w:b/>
        </w:rPr>
      </w:r>
      <w:r>
        <w:rPr>
          <w:b/>
        </w:rPr>
      </w:r>
    </w:p>
    <w:tbl>
      <w:tblPr>
        <w:tblStyle w:val="1570"/>
        <w:tblW w:w="5000" w:type="pct"/>
        <w:tblLayout w:type="fixed"/>
        <w:tblLook w:val="04A0" w:firstRow="1" w:lastRow="0" w:firstColumn="1" w:lastColumn="0" w:noHBand="0" w:noVBand="1"/>
      </w:tblPr>
      <w:tblGrid>
        <w:gridCol w:w="397"/>
        <w:gridCol w:w="1541"/>
        <w:gridCol w:w="1492"/>
        <w:gridCol w:w="1541"/>
        <w:gridCol w:w="4600"/>
      </w:tblGrid>
      <w:tr>
        <w:tblPrEx/>
        <w:trPr/>
        <w:tc>
          <w:tcPr>
            <w:tcW w:w="389" w:type="dxa"/>
            <w:vMerge w:val="restart"/>
            <w:textDirection w:val="lrTb"/>
            <w:noWrap w:val="false"/>
          </w:tcPr>
          <w:p>
            <w:pPr>
              <w:jc w:val="left"/>
              <w:spacing w:after="0"/>
              <w:rPr>
                <w:b/>
                <w:sz w:val="18"/>
                <w:szCs w:val="18"/>
              </w:rPr>
            </w:pPr>
            <w:r>
              <w:rPr>
                <w:b/>
                <w:sz w:val="18"/>
                <w:szCs w:val="18"/>
              </w:rPr>
            </w:r>
            <w:r>
              <w:rPr>
                <w:b/>
                <w:sz w:val="18"/>
                <w:szCs w:val="18"/>
              </w:rPr>
            </w:r>
          </w:p>
          <w:p>
            <w:pPr>
              <w:jc w:val="left"/>
              <w:spacing w:after="0"/>
              <w:rPr>
                <w:b/>
                <w:sz w:val="18"/>
                <w:szCs w:val="18"/>
              </w:rPr>
            </w:pPr>
            <w:r>
              <w:rPr>
                <w:rFonts w:eastAsia="Tinos"/>
                <w:b/>
                <w:sz w:val="18"/>
                <w:szCs w:val="18"/>
              </w:rPr>
              <w:t xml:space="preserve">№</w:t>
            </w:r>
            <w:r>
              <w:rPr>
                <w:b/>
                <w:sz w:val="18"/>
                <w:szCs w:val="18"/>
              </w:rPr>
            </w:r>
          </w:p>
        </w:tc>
        <w:tc>
          <w:tcPr>
            <w:gridSpan w:val="3"/>
            <w:tcW w:w="4470" w:type="dxa"/>
            <w:vAlign w:val="center"/>
            <w:textDirection w:val="lrTb"/>
            <w:noWrap w:val="false"/>
          </w:tcPr>
          <w:p>
            <w:pPr>
              <w:jc w:val="center"/>
              <w:spacing w:after="0"/>
              <w:rPr>
                <w:b/>
                <w:sz w:val="18"/>
                <w:szCs w:val="18"/>
              </w:rPr>
            </w:pPr>
            <w:r>
              <w:rPr>
                <w:rFonts w:eastAsia="Tinos"/>
                <w:b/>
                <w:sz w:val="18"/>
                <w:szCs w:val="18"/>
              </w:rPr>
              <w:t xml:space="preserve">Матрица договорных условий</w:t>
            </w:r>
            <w:r>
              <w:rPr>
                <w:b/>
                <w:sz w:val="18"/>
                <w:szCs w:val="18"/>
              </w:rPr>
            </w:r>
          </w:p>
        </w:tc>
        <w:tc>
          <w:tcPr>
            <w:tcW w:w="4496" w:type="dxa"/>
            <w:vAlign w:val="center"/>
            <w:vMerge w:val="restart"/>
            <w:textDirection w:val="lrTb"/>
            <w:noWrap w:val="false"/>
          </w:tcPr>
          <w:p>
            <w:pPr>
              <w:jc w:val="center"/>
              <w:spacing w:after="0"/>
              <w:rPr>
                <w:b/>
                <w:sz w:val="18"/>
                <w:szCs w:val="18"/>
              </w:rPr>
            </w:pPr>
            <w:r>
              <w:rPr>
                <w:rFonts w:eastAsia="Tinos"/>
                <w:b/>
                <w:sz w:val="18"/>
                <w:szCs w:val="18"/>
              </w:rPr>
              <w:t xml:space="preserve">Требуемый размер обеспечения (в виде независимой гарантии* либо обеспечительного платежа на исполнение обязательств по договору) *</w:t>
            </w:r>
            <w:r>
              <w:rPr>
                <w:b/>
                <w:sz w:val="18"/>
                <w:szCs w:val="18"/>
              </w:rPr>
            </w:r>
          </w:p>
        </w:tc>
      </w:tr>
      <w:tr>
        <w:tblPrEx/>
        <w:trPr/>
        <w:tc>
          <w:tcPr>
            <w:tcW w:w="389" w:type="dxa"/>
            <w:vMerge w:val="continue"/>
            <w:textDirection w:val="lrTb"/>
            <w:noWrap w:val="false"/>
          </w:tcPr>
          <w:p>
            <w:pPr>
              <w:jc w:val="left"/>
              <w:spacing w:after="0"/>
              <w:rPr>
                <w:b/>
                <w:sz w:val="18"/>
                <w:szCs w:val="18"/>
              </w:rPr>
            </w:pPr>
            <w:r>
              <w:rPr>
                <w:b/>
                <w:sz w:val="18"/>
                <w:szCs w:val="18"/>
              </w:rPr>
            </w:r>
            <w:r>
              <w:rPr>
                <w:b/>
                <w:sz w:val="18"/>
                <w:szCs w:val="18"/>
              </w:rPr>
            </w:r>
          </w:p>
        </w:tc>
        <w:tc>
          <w:tcPr>
            <w:tcW w:w="1506" w:type="dxa"/>
            <w:textDirection w:val="lrTb"/>
            <w:noWrap w:val="false"/>
          </w:tcPr>
          <w:p>
            <w:pPr>
              <w:jc w:val="center"/>
              <w:spacing w:after="0"/>
              <w:rPr>
                <w:b/>
                <w:sz w:val="18"/>
                <w:szCs w:val="18"/>
              </w:rPr>
            </w:pPr>
            <w:r>
              <w:rPr>
                <w:rFonts w:eastAsia="Tinos"/>
                <w:b/>
                <w:sz w:val="18"/>
                <w:szCs w:val="18"/>
              </w:rPr>
              <w:t xml:space="preserve">Предоставление обеспечения исполнения обязательств по договору</w:t>
            </w:r>
            <w:r>
              <w:rPr>
                <w:b/>
                <w:sz w:val="18"/>
                <w:szCs w:val="18"/>
              </w:rPr>
            </w:r>
          </w:p>
        </w:tc>
        <w:tc>
          <w:tcPr>
            <w:tcW w:w="1458" w:type="dxa"/>
            <w:vAlign w:val="center"/>
            <w:textDirection w:val="lrTb"/>
            <w:noWrap w:val="false"/>
          </w:tcPr>
          <w:p>
            <w:pPr>
              <w:jc w:val="center"/>
              <w:spacing w:after="0"/>
              <w:rPr>
                <w:b/>
                <w:sz w:val="18"/>
                <w:szCs w:val="18"/>
              </w:rPr>
            </w:pPr>
            <w:r>
              <w:rPr>
                <w:rFonts w:eastAsia="Tinos"/>
                <w:b/>
                <w:sz w:val="18"/>
                <w:szCs w:val="18"/>
              </w:rPr>
              <w:t xml:space="preserve">Авансирование</w:t>
            </w:r>
            <w:r>
              <w:rPr>
                <w:b/>
                <w:sz w:val="18"/>
                <w:szCs w:val="18"/>
              </w:rPr>
            </w:r>
          </w:p>
        </w:tc>
        <w:tc>
          <w:tcPr>
            <w:tcW w:w="1506" w:type="dxa"/>
            <w:vAlign w:val="center"/>
            <w:textDirection w:val="lrTb"/>
            <w:noWrap w:val="false"/>
          </w:tcPr>
          <w:p>
            <w:pPr>
              <w:jc w:val="center"/>
              <w:spacing w:after="0"/>
              <w:rPr>
                <w:b/>
                <w:sz w:val="18"/>
                <w:szCs w:val="18"/>
              </w:rPr>
            </w:pPr>
            <w:r>
              <w:rPr>
                <w:rFonts w:eastAsia="Tinos"/>
                <w:b/>
                <w:sz w:val="18"/>
                <w:szCs w:val="18"/>
              </w:rPr>
              <w:t xml:space="preserve">Предоставление обеспечения возврата авансового платежа</w:t>
            </w:r>
            <w:r>
              <w:rPr>
                <w:b/>
                <w:sz w:val="18"/>
                <w:szCs w:val="18"/>
              </w:rPr>
            </w:r>
          </w:p>
        </w:tc>
        <w:tc>
          <w:tcPr>
            <w:tcW w:w="4496" w:type="dxa"/>
            <w:vAlign w:val="center"/>
            <w:vMerge w:val="continue"/>
            <w:textDirection w:val="lrTb"/>
            <w:noWrap w:val="false"/>
          </w:tcPr>
          <w:p>
            <w:pPr>
              <w:jc w:val="left"/>
              <w:spacing w:after="0"/>
              <w:rPr>
                <w:b/>
                <w:sz w:val="18"/>
                <w:szCs w:val="18"/>
              </w:rPr>
            </w:pPr>
            <w:r>
              <w:rPr>
                <w:b/>
                <w:sz w:val="18"/>
                <w:szCs w:val="18"/>
              </w:rPr>
            </w:r>
            <w:r>
              <w:rPr>
                <w:b/>
                <w:sz w:val="18"/>
                <w:szCs w:val="18"/>
              </w:rPr>
            </w:r>
          </w:p>
        </w:tc>
      </w:tr>
      <w:tr>
        <w:tblPrEx/>
        <w:trPr/>
        <w:tc>
          <w:tcPr>
            <w:tcW w:w="389" w:type="dxa"/>
            <w:textDirection w:val="lrTb"/>
            <w:noWrap w:val="false"/>
          </w:tcPr>
          <w:p>
            <w:pPr>
              <w:jc w:val="left"/>
              <w:spacing w:after="0"/>
              <w:rPr>
                <w:sz w:val="18"/>
                <w:szCs w:val="18"/>
              </w:rPr>
            </w:pPr>
            <w:r>
              <w:rPr>
                <w:rFonts w:eastAsia="Tinos"/>
                <w:sz w:val="18"/>
                <w:szCs w:val="18"/>
              </w:rPr>
              <w:t xml:space="preserve">1</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tcW w:w="1458"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4496" w:type="dxa"/>
            <w:textDirection w:val="lrTb"/>
            <w:noWrap w:val="false"/>
          </w:tcPr>
          <w:p>
            <w:pPr>
              <w:jc w:val="left"/>
              <w:spacing w:after="0"/>
              <w:rPr>
                <w:sz w:val="18"/>
                <w:szCs w:val="18"/>
              </w:rPr>
            </w:pPr>
            <w:r>
              <w:rPr>
                <w:sz w:val="18"/>
                <w:szCs w:val="18"/>
              </w:rPr>
              <w:t xml:space="preserve">обеспечение исполнения обязательств по договору в размере 3% (три процента) от начальной (максимальной) цены договора</w:t>
            </w:r>
            <w:r>
              <w:rPr>
                <w:sz w:val="18"/>
                <w:szCs w:val="18"/>
              </w:rPr>
            </w:r>
          </w:p>
        </w:tc>
      </w:tr>
      <w:tr>
        <w:tblPrEx/>
        <w:trPr/>
        <w:tc>
          <w:tcPr>
            <w:shd w:val="clear" w:color="auto" w:fill="auto"/>
            <w:tcW w:w="389" w:type="dxa"/>
            <w:textDirection w:val="lrTb"/>
            <w:noWrap w:val="false"/>
          </w:tcPr>
          <w:p>
            <w:pPr>
              <w:jc w:val="left"/>
              <w:spacing w:after="0"/>
              <w:rPr>
                <w:sz w:val="18"/>
                <w:szCs w:val="18"/>
              </w:rPr>
            </w:pPr>
            <w:r>
              <w:rPr>
                <w:rFonts w:eastAsia="Tinos"/>
                <w:sz w:val="18"/>
                <w:szCs w:val="18"/>
              </w:rPr>
              <w:t xml:space="preserve">2</w:t>
            </w:r>
            <w:r>
              <w:rPr>
                <w:sz w:val="18"/>
                <w:szCs w:val="18"/>
              </w:rPr>
            </w:r>
          </w:p>
        </w:tc>
        <w:tc>
          <w:tcPr>
            <w:shd w:val="clear" w:color="auto" w:fill="auto"/>
            <w:tcW w:w="1506"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shd w:val="clear" w:color="auto" w:fill="auto"/>
            <w:tcW w:w="1458"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4496" w:type="dxa"/>
            <w:textDirection w:val="lrTb"/>
            <w:noWrap w:val="false"/>
          </w:tcPr>
          <w:p>
            <w:pPr>
              <w:jc w:val="left"/>
              <w:spacing w:after="0"/>
              <w:rPr>
                <w:sz w:val="18"/>
                <w:szCs w:val="18"/>
              </w:rPr>
            </w:pPr>
            <w:r>
              <w:rPr>
                <w:sz w:val="18"/>
                <w:szCs w:val="18"/>
              </w:rPr>
              <w:t xml:space="preserve">увеличенное</w:t>
            </w:r>
            <w:r>
              <w:rPr>
                <w:sz w:val="18"/>
                <w:szCs w:val="18"/>
              </w:rPr>
              <w:t xml:space="preserve"> от первоначально установленного обеспечения исполнения договора в 1,5 (полтора) раза, но не более 5% (пяти процентов) от начальной (максимальной) цены договора</w:t>
            </w:r>
            <w:r>
              <w:rPr>
                <w:sz w:val="18"/>
                <w:szCs w:val="18"/>
              </w:rPr>
            </w:r>
          </w:p>
        </w:tc>
      </w:tr>
      <w:tr>
        <w:tblPrEx/>
        <w:trPr>
          <w:trHeight w:val="658"/>
        </w:trPr>
        <w:tc>
          <w:tcPr>
            <w:shd w:val="clear" w:color="auto" w:fill="auto"/>
            <w:tcW w:w="389" w:type="dxa"/>
            <w:textDirection w:val="lrTb"/>
            <w:noWrap w:val="false"/>
          </w:tcPr>
          <w:p>
            <w:pPr>
              <w:jc w:val="left"/>
              <w:spacing w:after="0"/>
              <w:rPr>
                <w:sz w:val="18"/>
                <w:szCs w:val="18"/>
              </w:rPr>
            </w:pPr>
            <w:r>
              <w:rPr>
                <w:rFonts w:eastAsia="Tinos"/>
                <w:sz w:val="18"/>
                <w:szCs w:val="18"/>
              </w:rPr>
              <w:t xml:space="preserve">3</w:t>
            </w:r>
            <w:r>
              <w:rPr>
                <w:sz w:val="18"/>
                <w:szCs w:val="18"/>
              </w:rPr>
            </w:r>
          </w:p>
        </w:tc>
        <w:tc>
          <w:tcPr>
            <w:shd w:val="clear" w:color="auto" w:fill="auto"/>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1458"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shd w:val="clear" w:color="auto" w:fill="auto"/>
            <w:tcW w:w="4496" w:type="dxa"/>
            <w:textDirection w:val="lrTb"/>
            <w:noWrap w:val="false"/>
          </w:tcPr>
          <w:p>
            <w:pPr>
              <w:jc w:val="left"/>
              <w:spacing w:after="0"/>
              <w:rPr>
                <w:sz w:val="18"/>
                <w:szCs w:val="18"/>
              </w:rPr>
            </w:pPr>
            <w:r>
              <w:rPr>
                <w:sz w:val="18"/>
                <w:szCs w:val="18"/>
              </w:rPr>
              <w:t xml:space="preserve">обеспечение исполнения договора в размере аванса, при этом отдельное обеспечение на возврат авансовых платежей не предоставляется</w:t>
            </w:r>
            <w:r>
              <w:rPr>
                <w:sz w:val="18"/>
                <w:szCs w:val="18"/>
              </w:rPr>
            </w:r>
          </w:p>
        </w:tc>
      </w:tr>
      <w:tr>
        <w:tblPrEx/>
        <w:trPr>
          <w:trHeight w:val="710"/>
        </w:trPr>
        <w:tc>
          <w:tcPr>
            <w:shd w:val="clear" w:color="auto" w:fill="auto"/>
            <w:tcW w:w="389" w:type="dxa"/>
            <w:textDirection w:val="lrTb"/>
            <w:noWrap w:val="false"/>
          </w:tcPr>
          <w:p>
            <w:pPr>
              <w:jc w:val="left"/>
              <w:spacing w:after="0"/>
              <w:rPr>
                <w:sz w:val="18"/>
                <w:szCs w:val="18"/>
              </w:rPr>
            </w:pPr>
            <w:r>
              <w:rPr>
                <w:rFonts w:eastAsia="Tinos"/>
                <w:sz w:val="18"/>
                <w:szCs w:val="18"/>
              </w:rPr>
              <w:t xml:space="preserve">4</w:t>
            </w:r>
            <w:r>
              <w:rPr>
                <w:sz w:val="18"/>
                <w:szCs w:val="18"/>
              </w:rPr>
            </w:r>
          </w:p>
        </w:tc>
        <w:tc>
          <w:tcPr>
            <w:shd w:val="clear" w:color="auto" w:fill="auto"/>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1458"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4496" w:type="dxa"/>
            <w:textDirection w:val="lrTb"/>
            <w:noWrap w:val="false"/>
          </w:tcPr>
          <w:p>
            <w:pPr>
              <w:jc w:val="left"/>
              <w:spacing w:after="0"/>
              <w:rPr>
                <w:sz w:val="18"/>
                <w:szCs w:val="18"/>
              </w:rPr>
            </w:pPr>
            <w:r>
              <w:rPr>
                <w:sz w:val="18"/>
                <w:szCs w:val="18"/>
              </w:rPr>
              <w:t xml:space="preserve">обеспечение исполнения договора в размере аванса, при этом отдельное обеспечение на возврат авансовых платежей не предоставляется</w:t>
            </w:r>
            <w:r>
              <w:rPr>
                <w:sz w:val="18"/>
                <w:szCs w:val="18"/>
              </w:rPr>
            </w:r>
          </w:p>
        </w:tc>
      </w:tr>
      <w:tr>
        <w:tblPrEx/>
        <w:trPr>
          <w:trHeight w:val="976"/>
        </w:trPr>
        <w:tc>
          <w:tcPr>
            <w:shd w:val="clear" w:color="auto" w:fill="auto"/>
            <w:tcW w:w="389" w:type="dxa"/>
            <w:textDirection w:val="lrTb"/>
            <w:noWrap w:val="false"/>
          </w:tcPr>
          <w:p>
            <w:pPr>
              <w:jc w:val="left"/>
              <w:spacing w:after="0"/>
              <w:rPr>
                <w:sz w:val="18"/>
                <w:szCs w:val="18"/>
              </w:rPr>
            </w:pPr>
            <w:r>
              <w:rPr>
                <w:rFonts w:eastAsia="Tinos"/>
                <w:sz w:val="18"/>
                <w:szCs w:val="18"/>
              </w:rPr>
              <w:t xml:space="preserve">5</w:t>
            </w:r>
            <w:r>
              <w:rPr>
                <w:sz w:val="18"/>
                <w:szCs w:val="18"/>
              </w:rPr>
            </w:r>
          </w:p>
        </w:tc>
        <w:tc>
          <w:tcPr>
            <w:shd w:val="clear" w:color="auto" w:fill="auto"/>
            <w:tcW w:w="1506"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shd w:val="clear" w:color="auto" w:fill="auto"/>
            <w:tcW w:w="1458"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не предусмотрено</w:t>
            </w:r>
            <w:r>
              <w:rPr>
                <w:sz w:val="18"/>
                <w:szCs w:val="18"/>
              </w:rPr>
            </w:r>
          </w:p>
        </w:tc>
        <w:tc>
          <w:tcPr>
            <w:shd w:val="clear" w:color="auto" w:fill="auto"/>
            <w:tcW w:w="4496" w:type="dxa"/>
            <w:textDirection w:val="lrTb"/>
            <w:noWrap w:val="false"/>
          </w:tcPr>
          <w:p>
            <w:pPr>
              <w:jc w:val="left"/>
              <w:spacing w:after="0"/>
              <w:rPr>
                <w:sz w:val="18"/>
                <w:szCs w:val="18"/>
              </w:rPr>
            </w:pPr>
            <w:r>
              <w:rPr>
                <w:sz w:val="18"/>
                <w:szCs w:val="18"/>
              </w:rPr>
              <w:t xml:space="preserve">обеспечение исполнения договора в размере аванса, но не менее 5% (пяти процентов) от начальной (максимальной) цены договора, при этом отдельное обеспечение на возврат авансовых платежей не предоставляется</w:t>
            </w:r>
            <w:r>
              <w:rPr>
                <w:sz w:val="18"/>
                <w:szCs w:val="18"/>
              </w:rPr>
            </w:r>
          </w:p>
        </w:tc>
      </w:tr>
      <w:tr>
        <w:tblPrEx/>
        <w:trPr/>
        <w:tc>
          <w:tcPr>
            <w:tcW w:w="389" w:type="dxa"/>
            <w:textDirection w:val="lrTb"/>
            <w:noWrap w:val="false"/>
          </w:tcPr>
          <w:p>
            <w:pPr>
              <w:jc w:val="left"/>
              <w:spacing w:after="0"/>
              <w:rPr>
                <w:sz w:val="18"/>
                <w:szCs w:val="18"/>
              </w:rPr>
            </w:pPr>
            <w:r>
              <w:rPr>
                <w:rFonts w:eastAsia="Tinos"/>
                <w:sz w:val="18"/>
                <w:szCs w:val="18"/>
              </w:rPr>
              <w:t xml:space="preserve">6</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1458"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1506" w:type="dxa"/>
            <w:vAlign w:val="center"/>
            <w:textDirection w:val="lrTb"/>
            <w:noWrap w:val="false"/>
          </w:tcPr>
          <w:p>
            <w:pPr>
              <w:jc w:val="left"/>
              <w:spacing w:after="0"/>
              <w:rPr>
                <w:sz w:val="18"/>
                <w:szCs w:val="18"/>
              </w:rPr>
            </w:pPr>
            <w:r>
              <w:rPr>
                <w:sz w:val="18"/>
                <w:szCs w:val="18"/>
              </w:rPr>
              <w:t xml:space="preserve">предусмотрено</w:t>
            </w:r>
            <w:r>
              <w:rPr>
                <w:sz w:val="18"/>
                <w:szCs w:val="18"/>
              </w:rPr>
            </w:r>
          </w:p>
        </w:tc>
        <w:tc>
          <w:tcPr>
            <w:tcW w:w="4496" w:type="dxa"/>
            <w:textDirection w:val="lrTb"/>
            <w:noWrap w:val="false"/>
          </w:tcPr>
          <w:p>
            <w:pPr>
              <w:jc w:val="left"/>
              <w:spacing w:after="0"/>
              <w:rPr>
                <w:sz w:val="18"/>
                <w:szCs w:val="18"/>
              </w:rPr>
            </w:pPr>
            <w:r>
              <w:rPr>
                <w:sz w:val="18"/>
                <w:szCs w:val="18"/>
              </w:rPr>
              <w:t xml:space="preserve">обеспечение исполнения договора в размере аванса, но не менее 5% (пяти процентов) от начальной (максимальной) цены договора, при этом отдельное обеспечение на возврат авансовых платежей не предоставляется</w:t>
            </w:r>
            <w:r>
              <w:rPr>
                <w:sz w:val="18"/>
                <w:szCs w:val="18"/>
              </w:rPr>
            </w:r>
          </w:p>
        </w:tc>
      </w:tr>
    </w:tbl>
    <w:p>
      <w:pPr>
        <w:ind w:firstLine="708"/>
        <w:rPr>
          <w:sz w:val="20"/>
          <w:szCs w:val="20"/>
        </w:rPr>
      </w:pPr>
      <w:r>
        <w:rPr>
          <w:sz w:val="20"/>
          <w:szCs w:val="20"/>
        </w:rPr>
        <w:t xml:space="preserve">*Форма гарантии должна соответствовать требованиям организационно-распорядительных документов Заказчика, действующим на дату предоставления гарантии.</w:t>
      </w:r>
      <w:r>
        <w:rPr>
          <w:sz w:val="20"/>
          <w:szCs w:val="20"/>
        </w:rPr>
      </w:r>
    </w:p>
    <w:p>
      <w:pPr>
        <w:pStyle w:val="1352"/>
        <w:numPr>
          <w:ilvl w:val="2"/>
          <w:numId w:val="21"/>
        </w:numPr>
        <w:ind w:left="0" w:firstLine="567"/>
        <w:jc w:val="both"/>
        <w:rPr>
          <w:b/>
        </w:rPr>
      </w:pPr>
      <w:r>
        <w:t xml:space="preserve">Обеспечение исполнения обязательств по договору может быть представлено в форме внесения денежных средств на счет Заказчика (обеспечительного платежа) и</w:t>
      </w:r>
      <w:r>
        <w:t xml:space="preserve">ли в форме независимой гарантии. Выбор способа обеспечения исполнения обязательств по договору осуществляется участником закупки самостоятельно. Предоставление обеспечения иным, не указанным в извещении и/или документации о закупке способом не допускается.</w:t>
      </w:r>
      <w:r>
        <w:rPr>
          <w:b/>
        </w:rPr>
      </w:r>
    </w:p>
    <w:p>
      <w:pPr>
        <w:pStyle w:val="1118"/>
        <w:numPr>
          <w:ilvl w:val="2"/>
          <w:numId w:val="21"/>
        </w:numPr>
        <w:ind w:left="0" w:firstLine="567"/>
        <w:keepNext w:val="0"/>
        <w:spacing w:before="0" w:after="120"/>
        <w:widowControl w:val="off"/>
        <w:tabs>
          <w:tab w:val="left" w:pos="454" w:leader="none"/>
          <w:tab w:val="left" w:pos="1560" w:leader="none"/>
        </w:tabs>
        <w:rPr>
          <w:rFonts w:ascii="Times New Roman" w:hAnsi="Times New Roman" w:cs="Times New Roman"/>
          <w:b w:val="0"/>
          <w:bCs w:val="0"/>
        </w:rPr>
      </w:pPr>
      <w:r/>
      <w:bookmarkStart w:id="705" w:name="_Toc191290268"/>
      <w:r/>
      <w:bookmarkStart w:id="706" w:name="_Toc195264491"/>
      <w:r>
        <w:rPr>
          <w:rFonts w:ascii="Times New Roman" w:hAnsi="Times New Roman" w:cs="Times New Roman"/>
          <w:b w:val="0"/>
          <w:bCs w:val="0"/>
        </w:rPr>
        <w:t xml:space="preserve">Обеспечение исполнения договора, предусмотренное в пункте 8.4.2, предоставляется на пер</w:t>
      </w:r>
      <w:r>
        <w:rPr>
          <w:rFonts w:ascii="Times New Roman" w:hAnsi="Times New Roman" w:cs="Times New Roman"/>
          <w:b w:val="0"/>
          <w:bCs w:val="0"/>
        </w:rPr>
        <w:t xml:space="preserve">иод исполнения обязательств по договору до момента подписания сторонами итоговых документов, подтверждающих исполнение участником закупки обязательств по выполнению работ/ оказанию услуг/поставке товаров в соответствии с условиями договора в полном объеме.</w:t>
      </w:r>
      <w:bookmarkEnd w:id="705"/>
      <w:r/>
      <w:bookmarkEnd w:id="706"/>
      <w:r>
        <w:rPr>
          <w:rFonts w:ascii="Times New Roman" w:hAnsi="Times New Roman" w:cs="Times New Roman"/>
          <w:b w:val="0"/>
          <w:bCs w:val="0"/>
        </w:rPr>
        <w:t xml:space="preserve"> </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 w:val="left" w:pos="1560" w:leader="none"/>
        </w:tabs>
        <w:rPr>
          <w:rFonts w:ascii="Times New Roman" w:hAnsi="Times New Roman" w:cs="Times New Roman"/>
          <w:b w:val="0"/>
          <w:bCs w:val="0"/>
        </w:rPr>
      </w:pPr>
      <w:r/>
      <w:bookmarkStart w:id="707" w:name="_Toc191290269"/>
      <w:r/>
      <w:bookmarkStart w:id="708" w:name="_Toc195264492"/>
      <w:r>
        <w:rPr>
          <w:rFonts w:ascii="Times New Roman" w:hAnsi="Times New Roman" w:cs="Times New Roman"/>
          <w:b w:val="0"/>
          <w:bCs w:val="0"/>
        </w:rPr>
        <w:t xml:space="preserve">Срок действия независимой гарантии должен начинаться не позднее даты заключения договора и заканчиваться не ранее, чем через 60 дней после установленного договором срока исполнения обязательств по договору.</w:t>
      </w:r>
      <w:bookmarkEnd w:id="707"/>
      <w:r/>
      <w:bookmarkEnd w:id="708"/>
      <w:r>
        <w:rPr>
          <w:rFonts w:ascii="Times New Roman" w:hAnsi="Times New Roman" w:cs="Times New Roman"/>
          <w:b w:val="0"/>
          <w:bCs w:val="0"/>
        </w:rPr>
        <w:t xml:space="preserve"> </w:t>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 w:val="left" w:pos="1560" w:leader="none"/>
        </w:tabs>
        <w:rPr>
          <w:rFonts w:ascii="Times New Roman" w:hAnsi="Times New Roman" w:cs="Times New Roman"/>
          <w:b w:val="0"/>
          <w:bCs w:val="0"/>
        </w:rPr>
      </w:pPr>
      <w:r/>
      <w:bookmarkStart w:id="709" w:name="_Toc191290270"/>
      <w:r/>
      <w:bookmarkStart w:id="710" w:name="_Toc195264493"/>
      <w:r>
        <w:rPr>
          <w:rFonts w:ascii="Times New Roman" w:hAnsi="Times New Roman" w:cs="Times New Roman"/>
          <w:b w:val="0"/>
          <w:bCs w:val="0"/>
        </w:rPr>
        <w:t xml:space="preserve">В случае принятия участником закупки решения о предоставлении обеспечение исполнения обязательств по договору, предусмотренного в пункте 8.4.2, в форме денежных средств (обеспечительного платежа), такие средства пе</w:t>
      </w:r>
      <w:r>
        <w:rPr>
          <w:rFonts w:ascii="Times New Roman" w:hAnsi="Times New Roman" w:cs="Times New Roman"/>
          <w:b w:val="0"/>
          <w:bCs w:val="0"/>
        </w:rPr>
        <w:t xml:space="preserve">речисляются на расчетный счет Заказчика, указанный в извещении/или документации о закупке. В платежном поручении в графе «наименование платежа» необходимо указать «Обеспечение исполнения обязательств по договору (наименование), а также «НДС не облагается».</w:t>
      </w:r>
      <w:bookmarkEnd w:id="709"/>
      <w:r/>
      <w:bookmarkEnd w:id="710"/>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 w:val="left" w:pos="1560" w:leader="none"/>
        </w:tabs>
        <w:rPr>
          <w:rFonts w:ascii="Times New Roman" w:hAnsi="Times New Roman" w:cs="Times New Roman"/>
          <w:b w:val="0"/>
          <w:bCs w:val="0"/>
        </w:rPr>
      </w:pPr>
      <w:r/>
      <w:bookmarkStart w:id="711" w:name="_Toc191290271"/>
      <w:r/>
      <w:bookmarkStart w:id="712" w:name="_Toc195264494"/>
      <w:r>
        <w:rPr>
          <w:rFonts w:ascii="Times New Roman" w:hAnsi="Times New Roman" w:cs="Times New Roman"/>
          <w:b w:val="0"/>
          <w:bCs w:val="0"/>
        </w:rPr>
        <w:t xml:space="preserve">В случае принятия решения о предоставлении обеспечения исполнения обяз</w:t>
      </w:r>
      <w:r>
        <w:rPr>
          <w:rFonts w:ascii="Times New Roman" w:hAnsi="Times New Roman" w:cs="Times New Roman"/>
          <w:b w:val="0"/>
          <w:bCs w:val="0"/>
        </w:rPr>
        <w:t xml:space="preserve">ательств по договору, предусмотренного в пункте 8.4.2, в форме независимой гарантии, такая гарантия, а также гарант должны соответствовать требованиям, установленным в извещении и/или документации о закупке к форме независимой гарантии, а также к гарантам.</w:t>
      </w:r>
      <w:bookmarkEnd w:id="711"/>
      <w:r/>
      <w:bookmarkEnd w:id="712"/>
      <w:r/>
      <w:r>
        <w:rPr>
          <w:rFonts w:ascii="Times New Roman" w:hAnsi="Times New Roman" w:cs="Times New Roman"/>
          <w:b w:val="0"/>
          <w:bCs w:val="0"/>
        </w:rPr>
      </w:r>
    </w:p>
    <w:p>
      <w:pPr>
        <w:pStyle w:val="1118"/>
        <w:numPr>
          <w:ilvl w:val="2"/>
          <w:numId w:val="21"/>
        </w:numPr>
        <w:ind w:left="0" w:firstLine="567"/>
        <w:keepNext w:val="0"/>
        <w:spacing w:before="0" w:after="120"/>
        <w:widowControl w:val="off"/>
        <w:tabs>
          <w:tab w:val="left" w:pos="454" w:leader="none"/>
          <w:tab w:val="left" w:pos="1560" w:leader="none"/>
        </w:tabs>
        <w:rPr>
          <w:rFonts w:ascii="Times New Roman" w:hAnsi="Times New Roman" w:cs="Times New Roman"/>
          <w:b w:val="0"/>
          <w:bCs w:val="0"/>
        </w:rPr>
      </w:pPr>
      <w:r>
        <w:rPr>
          <w:rFonts w:ascii="Times New Roman" w:hAnsi="Times New Roman" w:cs="Times New Roman"/>
          <w:b w:val="0"/>
          <w:bCs w:val="0"/>
        </w:rPr>
        <w:t xml:space="preserve">В случае продления срока выполнения обязательств по договору, обеспечение, предоставленное контрагентом, должно соответствовать установленным в договоре требованиям, регламентирующим порядок работы с обеспечением. </w:t>
      </w:r>
      <w:r>
        <w:rPr>
          <w:rFonts w:ascii="Times New Roman" w:hAnsi="Times New Roman" w:cs="Times New Roman"/>
          <w:b w:val="0"/>
          <w:bCs w:val="0"/>
        </w:rPr>
      </w:r>
    </w:p>
    <w:p>
      <w:pPr>
        <w:pStyle w:val="1117"/>
        <w:numPr>
          <w:ilvl w:val="1"/>
          <w:numId w:val="21"/>
        </w:numPr>
        <w:ind w:left="0" w:firstLine="567"/>
        <w:jc w:val="both"/>
        <w:keepNext w:val="0"/>
        <w:spacing w:after="120"/>
        <w:widowControl w:val="off"/>
        <w:rPr>
          <w:sz w:val="24"/>
          <w:szCs w:val="24"/>
        </w:rPr>
      </w:pPr>
      <w:r/>
      <w:bookmarkStart w:id="713" w:name="_Toc236307229"/>
      <w:r/>
      <w:bookmarkStart w:id="714" w:name="_Toc175583308"/>
      <w:r/>
      <w:bookmarkStart w:id="715" w:name="_Toc224650004"/>
      <w:r>
        <w:rPr>
          <w:sz w:val="24"/>
          <w:szCs w:val="24"/>
        </w:rPr>
        <w:t xml:space="preserve">Отказ от заключения договора</w:t>
      </w:r>
      <w:bookmarkEnd w:id="713"/>
      <w:r/>
      <w:bookmarkEnd w:id="714"/>
      <w:r/>
      <w:bookmarkEnd w:id="715"/>
      <w:r/>
      <w:r>
        <w:rPr>
          <w:sz w:val="24"/>
          <w:szCs w:val="24"/>
        </w:rPr>
      </w:r>
    </w:p>
    <w:p>
      <w:pPr>
        <w:pStyle w:val="1118"/>
        <w:numPr>
          <w:ilvl w:val="2"/>
          <w:numId w:val="21"/>
        </w:numPr>
        <w:ind w:left="0" w:firstLine="567"/>
        <w:keepNext w:val="0"/>
        <w:spacing w:before="0" w:after="120"/>
        <w:widowControl w:val="off"/>
        <w:tabs>
          <w:tab w:val="left" w:pos="454" w:leader="none"/>
          <w:tab w:val="left" w:pos="1560" w:leader="none"/>
        </w:tabs>
      </w:pPr>
      <w:r>
        <w:rPr>
          <w:rFonts w:ascii="Times New Roman" w:hAnsi="Times New Roman" w:cs="Times New Roman"/>
          <w:b w:val="0"/>
          <w:bCs w:val="0"/>
        </w:rPr>
        <w:t xml:space="preserve">Заказчик отказывается от заключения договора с победителем (единственным участником закупки, с которым планируется заключить договора) в любой момент до заключения договора, если Заказчик обнаружит, что участник закупки не соответствует </w:t>
      </w:r>
      <w:r>
        <w:rPr>
          <w:rFonts w:ascii="Times New Roman" w:hAnsi="Times New Roman" w:cs="Times New Roman"/>
          <w:b w:val="0"/>
          <w:bCs w:val="0"/>
        </w:rPr>
        <w:t xml:space="preserve">требованиям, установленным в документации о закупке или предоставил</w:t>
      </w:r>
      <w:r>
        <w:rPr>
          <w:rFonts w:ascii="Times New Roman" w:hAnsi="Times New Roman" w:cs="Times New Roman"/>
          <w:b w:val="0"/>
          <w:bCs w:val="0"/>
        </w:rPr>
        <w:t xml:space="preserve"> недостоверную информацию (сведения) в отношении своего соответствия указанным требованиям.</w:t>
      </w:r>
      <w:r/>
    </w:p>
    <w:p>
      <w:pPr>
        <w:pStyle w:val="1118"/>
        <w:numPr>
          <w:ilvl w:val="2"/>
          <w:numId w:val="21"/>
        </w:numPr>
        <w:ind w:left="0" w:firstLine="567"/>
        <w:keepNext w:val="0"/>
        <w:spacing w:before="0" w:after="120"/>
        <w:widowControl w:val="off"/>
        <w:tabs>
          <w:tab w:val="left" w:pos="454" w:leader="none"/>
          <w:tab w:val="left" w:pos="1560" w:leader="none"/>
        </w:tabs>
      </w:pPr>
      <w:r>
        <w:rPr>
          <w:rFonts w:ascii="Times New Roman" w:hAnsi="Times New Roman" w:cs="Times New Roman"/>
          <w:b w:val="0"/>
          <w:bCs w:val="0"/>
        </w:rPr>
        <w:t xml:space="preserve">Участник закупки, признанный победителем (участник закупки, с которым принято решение заключить договор), утрачивает статус победителя, и его действия (бездействия) означают отказ от заключения договора в следующих случаях:</w:t>
      </w:r>
      <w:r/>
    </w:p>
    <w:p>
      <w:pPr>
        <w:pStyle w:val="1118"/>
        <w:numPr>
          <w:ilvl w:val="0"/>
          <w:numId w:val="42"/>
        </w:numPr>
        <w:ind w:left="1560" w:hanging="709"/>
        <w:keepNext w:val="0"/>
        <w:spacing w:before="0" w:after="120"/>
        <w:widowControl w:val="off"/>
        <w:rPr>
          <w:rFonts w:ascii="Times New Roman" w:hAnsi="Times New Roman" w:cs="Times New Roman"/>
          <w:b w:val="0"/>
          <w:bCs w:val="0"/>
        </w:rPr>
      </w:pPr>
      <w:r>
        <w:rPr>
          <w:rFonts w:ascii="Times New Roman" w:hAnsi="Times New Roman" w:cs="Times New Roman"/>
          <w:b w:val="0"/>
          <w:bCs w:val="0"/>
        </w:rPr>
        <w:t xml:space="preserve">уклонения или отказа участника закупки (участника закупки, с которым принято решение заключить договор) от заключения договора, в том числе путем предложения Заказчику внести существенные изменения, ухудшающие для Заказчика условия договора, либо </w:t>
      </w:r>
      <w:r>
        <w:rPr>
          <w:rFonts w:ascii="Times New Roman" w:hAnsi="Times New Roman" w:cs="Times New Roman"/>
          <w:b w:val="0"/>
          <w:bCs w:val="0"/>
        </w:rPr>
        <w:t xml:space="preserve">непредоставления</w:t>
      </w:r>
      <w:r>
        <w:rPr>
          <w:rFonts w:ascii="Times New Roman" w:hAnsi="Times New Roman" w:cs="Times New Roman"/>
          <w:b w:val="0"/>
          <w:bCs w:val="0"/>
        </w:rPr>
        <w:t xml:space="preserve"> сведений, указанных в пункте 8.1.5, пункте 8.1.6 части I Документации о закупке;</w:t>
      </w:r>
      <w:r>
        <w:rPr>
          <w:rFonts w:ascii="Times New Roman" w:hAnsi="Times New Roman" w:cs="Times New Roman"/>
          <w:b w:val="0"/>
          <w:bCs w:val="0"/>
        </w:rPr>
      </w:r>
    </w:p>
    <w:p>
      <w:pPr>
        <w:pStyle w:val="1118"/>
        <w:numPr>
          <w:ilvl w:val="0"/>
          <w:numId w:val="42"/>
        </w:numPr>
        <w:ind w:left="1560" w:hanging="709"/>
        <w:keepNext w:val="0"/>
        <w:spacing w:before="0" w:after="120"/>
        <w:widowControl w:val="off"/>
      </w:pPr>
      <w:r>
        <w:rPr>
          <w:rFonts w:ascii="Times New Roman" w:hAnsi="Times New Roman" w:cs="Times New Roman"/>
          <w:b w:val="0"/>
          <w:bCs w:val="0"/>
        </w:rPr>
        <w:t xml:space="preserve">непредоставления</w:t>
      </w:r>
      <w:r>
        <w:rPr>
          <w:rFonts w:ascii="Times New Roman" w:hAnsi="Times New Roman" w:cs="Times New Roman"/>
          <w:b w:val="0"/>
          <w:bCs w:val="0"/>
        </w:rPr>
        <w:t xml:space="preserve"> или предоставление с нарушением условий, </w:t>
      </w:r>
      <w:r>
        <w:rPr>
          <w:rFonts w:ascii="Times New Roman" w:hAnsi="Times New Roman" w:cs="Times New Roman"/>
          <w:b w:val="0"/>
          <w:bCs w:val="0"/>
        </w:rPr>
        <w:t xml:space="preserve">установленных настоящей д</w:t>
      </w:r>
      <w:r>
        <w:rPr>
          <w:rFonts w:ascii="Times New Roman" w:hAnsi="Times New Roman" w:cs="Times New Roman"/>
          <w:b w:val="0"/>
          <w:bCs w:val="0"/>
        </w:rPr>
        <w:t xml:space="preserve">окументацией о закупке,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 и срок его предоставления до заключения договора).</w:t>
      </w:r>
      <w:r/>
    </w:p>
    <w:p>
      <w:pPr>
        <w:pStyle w:val="1118"/>
        <w:numPr>
          <w:ilvl w:val="2"/>
          <w:numId w:val="21"/>
        </w:numPr>
        <w:ind w:left="0" w:firstLine="567"/>
        <w:keepNext w:val="0"/>
        <w:spacing w:before="0" w:after="120"/>
        <w:widowControl w:val="off"/>
        <w:tabs>
          <w:tab w:val="left" w:pos="454" w:leader="none"/>
        </w:tabs>
      </w:pPr>
      <w:r>
        <w:rPr>
          <w:rFonts w:ascii="Times New Roman" w:hAnsi="Times New Roman" w:cs="Times New Roman"/>
          <w:b w:val="0"/>
          <w:bCs w:val="0"/>
        </w:rPr>
        <w:t xml:space="preserve">В случае если победитель закупки будет признан уклонившимся от заключения договора, Заказчик в</w:t>
      </w:r>
      <w:r>
        <w:rPr>
          <w:rFonts w:ascii="Times New Roman" w:hAnsi="Times New Roman" w:cs="Times New Roman"/>
          <w:b w:val="0"/>
          <w:bCs w:val="0"/>
        </w:rPr>
        <w:t xml:space="preserve">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r/>
    </w:p>
    <w:p>
      <w:pPr>
        <w:pStyle w:val="1117"/>
        <w:numPr>
          <w:ilvl w:val="1"/>
          <w:numId w:val="21"/>
        </w:numPr>
        <w:ind w:left="0" w:firstLine="567"/>
        <w:jc w:val="both"/>
        <w:keepNext w:val="0"/>
        <w:spacing w:after="120"/>
        <w:widowControl w:val="off"/>
        <w:rPr>
          <w:sz w:val="24"/>
          <w:szCs w:val="24"/>
        </w:rPr>
      </w:pPr>
      <w:r/>
      <w:bookmarkStart w:id="716" w:name="_Toc3204435"/>
      <w:r/>
      <w:bookmarkStart w:id="717" w:name="_Toc175583309"/>
      <w:r/>
      <w:bookmarkStart w:id="718" w:name="_Toc224650005"/>
      <w:r/>
      <w:bookmarkStart w:id="719" w:name="_Toc236307230"/>
      <w:r>
        <w:rPr>
          <w:sz w:val="24"/>
          <w:szCs w:val="24"/>
        </w:rPr>
        <w:t xml:space="preserve">Изменение и расторжение договора</w:t>
      </w:r>
      <w:bookmarkEnd w:id="716"/>
      <w:r/>
      <w:bookmarkEnd w:id="717"/>
      <w:r/>
      <w:bookmarkEnd w:id="718"/>
      <w:r/>
      <w:bookmarkEnd w:id="719"/>
      <w:r/>
      <w:r>
        <w:rPr>
          <w:sz w:val="24"/>
          <w:szCs w:val="24"/>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Договор исполняется в соотв</w:t>
      </w:r>
      <w:r>
        <w:rPr>
          <w:rFonts w:ascii="Times New Roman" w:hAnsi="Times New Roman" w:cs="Times New Roman"/>
          <w:b w:val="0"/>
        </w:rPr>
        <w:t xml:space="preserve">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возможно в порядке, предусмотренном действующим законодательством и Положением о закупке Заказчика.</w:t>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При исполн</w:t>
      </w:r>
      <w:r>
        <w:rPr>
          <w:rFonts w:ascii="Times New Roman" w:hAnsi="Times New Roman" w:cs="Times New Roman"/>
          <w:b w:val="0"/>
        </w:rPr>
        <w:t xml:space="preserve">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w:t>
      </w:r>
      <w:r>
        <w:rPr>
          <w:rFonts w:ascii="Times New Roman" w:hAnsi="Times New Roman" w:cs="Times New Roman"/>
          <w:b w:val="0"/>
        </w:rPr>
        <w:t xml:space="preserve">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bookmarkStart w:id="720" w:name="_Ref119429963"/>
      <w:r>
        <w:rPr>
          <w:rFonts w:ascii="Times New Roman" w:hAnsi="Times New Roman" w:cs="Times New Roman"/>
          <w:b w:val="0"/>
        </w:rPr>
        <w:t xml:space="preserve">При исп</w:t>
      </w:r>
      <w:r>
        <w:rPr>
          <w:rFonts w:ascii="Times New Roman" w:hAnsi="Times New Roman" w:cs="Times New Roman"/>
          <w:b w:val="0"/>
        </w:rPr>
        <w:t xml:space="preserve">олнении договоров на поставку товаров (выполнение работ, оказание услуг) поставщик (исполнитель, подрядчик), при условии исполнения обязательств по договору вправе переуступить право требования (факторинг) в пользу иного лица (финансового агента, фактора).</w:t>
      </w:r>
      <w:bookmarkEnd w:id="720"/>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При исполнении договора, заключенного с уча</w:t>
      </w:r>
      <w:r>
        <w:rPr>
          <w:rFonts w:ascii="Times New Roman" w:hAnsi="Times New Roman" w:cs="Times New Roman"/>
          <w:b w:val="0"/>
        </w:rPr>
        <w:t xml:space="preserve">стником закупки,  не допускается замена товара, в отношении которого установлены меры национального режима, на товар иностранного происхождения, за исключением случая, когда в результате такой замены поставляются российские товары либо товары иностранного </w:t>
      </w:r>
      <w:r>
        <w:rPr>
          <w:rFonts w:ascii="Times New Roman" w:hAnsi="Times New Roman" w:cs="Times New Roman"/>
          <w:b w:val="0"/>
        </w:rPr>
        <w:t xml:space="preserve">происхождения</w:t>
      </w:r>
      <w:r>
        <w:rPr>
          <w:rFonts w:ascii="Times New Roman" w:hAnsi="Times New Roman" w:cs="Times New Roman"/>
          <w:b w:val="0"/>
        </w:rPr>
        <w:t xml:space="preserve"> приравненные в соответствии с з</w:t>
      </w:r>
      <w:r>
        <w:rPr>
          <w:rFonts w:ascii="Times New Roman" w:hAnsi="Times New Roman" w:cs="Times New Roman"/>
          <w:b w:val="0"/>
        </w:rPr>
        <w:t xml:space="preserve">аконодательством к российским,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r>
        <w:rPr>
          <w:rFonts w:ascii="Times New Roman" w:hAnsi="Times New Roman" w:cs="Times New Roman"/>
          <w:b w:val="0"/>
        </w:rPr>
      </w:r>
    </w:p>
    <w:p>
      <w:pPr>
        <w:pStyle w:val="1118"/>
        <w:numPr>
          <w:ilvl w:val="2"/>
          <w:numId w:val="21"/>
        </w:numPr>
        <w:ind w:left="0" w:firstLine="567"/>
        <w:keepNext w:val="0"/>
        <w:spacing w:before="0" w:after="120"/>
        <w:widowControl w:val="off"/>
        <w:tabs>
          <w:tab w:val="left" w:pos="454" w:leader="none"/>
        </w:tabs>
        <w:rPr>
          <w:rFonts w:ascii="Times New Roman" w:hAnsi="Times New Roman" w:cs="Times New Roman"/>
          <w:b w:val="0"/>
        </w:rPr>
      </w:pPr>
      <w:r>
        <w:rPr>
          <w:rFonts w:ascii="Times New Roman" w:hAnsi="Times New Roman" w:cs="Times New Roman"/>
          <w:b w:val="0"/>
        </w:rPr>
        <w:t xml:space="preserve">Расторжение договора, в том числе односторонний отказ от договора допускается по основаниям и в порядке, предусмотренном действующим законодательством и договором.</w:t>
      </w:r>
      <w:r>
        <w:rPr>
          <w:rFonts w:ascii="Times New Roman" w:hAnsi="Times New Roman" w:cs="Times New Roman"/>
          <w:b w:val="0"/>
        </w:rPr>
      </w:r>
    </w:p>
    <w:p>
      <w:pPr>
        <w:rPr>
          <w:b/>
        </w:rPr>
      </w:pPr>
      <w:r>
        <w:rPr>
          <w:b/>
        </w:rPr>
      </w:r>
      <w:r>
        <w:rPr>
          <w:b/>
        </w:rPr>
      </w:r>
    </w:p>
    <w:p>
      <w:pPr>
        <w:pStyle w:val="1116"/>
        <w:numPr>
          <w:ilvl w:val="0"/>
          <w:numId w:val="6"/>
        </w:numPr>
        <w:ind w:left="0" w:firstLine="567"/>
        <w:spacing w:before="0" w:after="0"/>
        <w:rPr>
          <w:rStyle w:val="1206"/>
          <w:b/>
          <w:bCs/>
          <w:sz w:val="24"/>
          <w:szCs w:val="24"/>
        </w:rPr>
      </w:pPr>
      <w:r/>
      <w:bookmarkStart w:id="721" w:name="_РАЗДЕЛ_I_3_ИНФОРМАЦИОННАЯ_КАРТА_КОН"/>
      <w:r/>
      <w:bookmarkStart w:id="722" w:name="_Ref119427269"/>
      <w:r/>
      <w:bookmarkStart w:id="723" w:name="_Toc166101214"/>
      <w:r/>
      <w:bookmarkEnd w:id="721"/>
      <w:r>
        <w:br w:type="page" w:clear="all"/>
      </w:r>
      <w:r>
        <w:rPr>
          <w:rStyle w:val="1206"/>
          <w:b/>
          <w:bCs/>
          <w:sz w:val="24"/>
          <w:szCs w:val="24"/>
        </w:rPr>
      </w:r>
    </w:p>
    <w:p>
      <w:pPr>
        <w:pStyle w:val="1116"/>
        <w:ind w:left="720" w:firstLine="0"/>
        <w:spacing w:before="0" w:after="0"/>
        <w:tabs>
          <w:tab w:val="clear" w:pos="432" w:leader="none"/>
        </w:tabs>
        <w:rPr>
          <w:rStyle w:val="1206"/>
          <w:b/>
          <w:bCs/>
          <w:sz w:val="24"/>
          <w:szCs w:val="24"/>
        </w:rPr>
      </w:pPr>
      <w:r/>
      <w:bookmarkStart w:id="724" w:name="_Toc64630213"/>
      <w:r/>
      <w:bookmarkStart w:id="725" w:name="_Toc224650006"/>
      <w:r/>
      <w:bookmarkStart w:id="726" w:name="_Toc236307231"/>
      <w:r>
        <w:rPr>
          <w:rStyle w:val="1206"/>
          <w:b/>
          <w:bCs/>
          <w:sz w:val="24"/>
          <w:szCs w:val="24"/>
          <w:lang w:val="en-US"/>
        </w:rPr>
        <w:t xml:space="preserve">II</w:t>
      </w:r>
      <w:r>
        <w:rPr>
          <w:rStyle w:val="1206"/>
          <w:b/>
          <w:bCs/>
          <w:sz w:val="24"/>
          <w:szCs w:val="24"/>
        </w:rPr>
        <w:t xml:space="preserve">.ИНФОРМАЦИОННАЯ КАРТА </w:t>
      </w:r>
      <w:bookmarkEnd w:id="722"/>
      <w:r/>
      <w:bookmarkEnd w:id="723"/>
      <w:r>
        <w:rPr>
          <w:rStyle w:val="1206"/>
          <w:b/>
          <w:bCs/>
          <w:sz w:val="24"/>
          <w:szCs w:val="24"/>
        </w:rPr>
        <w:t xml:space="preserve">ЗАКУПКИ</w:t>
      </w:r>
      <w:bookmarkEnd w:id="724"/>
      <w:r/>
      <w:bookmarkEnd w:id="725"/>
      <w:r/>
      <w:bookmarkEnd w:id="726"/>
      <w:r/>
      <w:r>
        <w:rPr>
          <w:rStyle w:val="1206"/>
          <w:b/>
          <w:bCs/>
          <w:sz w:val="24"/>
          <w:szCs w:val="24"/>
        </w:rPr>
      </w:r>
    </w:p>
    <w:p>
      <w:r/>
      <w:r/>
    </w:p>
    <w:p>
      <w:pPr>
        <w:ind w:firstLine="567"/>
      </w:pPr>
      <w:r>
        <w:t xml:space="preserve">В части II «ИНФОРМАЦИОННАЯ КАРТА ЗАКУПКИ» содержится информация для данной конкретной закупки, которая уточняет, разъясняет и дополняет положения части «ОБЩИЕ УСЛОВИЯ ПРОВЕДЕНИЯ ЗАКУПКИ». </w:t>
      </w:r>
      <w:r/>
    </w:p>
    <w:p>
      <w:pPr>
        <w:ind w:firstLine="567"/>
      </w:pPr>
      <w:r>
        <w:t xml:space="preserve">При возникновении противоречия между положениями части </w:t>
      </w:r>
      <w:r>
        <w:rPr>
          <w:lang w:val="en-US"/>
        </w:rPr>
        <w:t xml:space="preserve">I</w:t>
      </w:r>
      <w:r>
        <w:t xml:space="preserve"> «ОБЩИЕ УСЛОВИЯ ПРОВЕДЕНИЯ ЗАКУПКИ» и части II «ИНФОРМАЦИОННАЯ КАРТА ЗАКУПКИ», применяются положения Части II.</w:t>
      </w:r>
      <w:r/>
    </w:p>
    <w:tbl>
      <w:tblPr>
        <w:tblW w:w="10456" w:type="dxa"/>
        <w:jc w:val="center"/>
        <w:tblLayout w:type="fixed"/>
        <w:tblLook w:val="0000" w:firstRow="0" w:lastRow="0" w:firstColumn="0" w:lastColumn="0" w:noHBand="0" w:noVBand="0"/>
      </w:tblPr>
      <w:tblGrid>
        <w:gridCol w:w="607"/>
        <w:gridCol w:w="1817"/>
        <w:gridCol w:w="2140"/>
        <w:gridCol w:w="5892"/>
      </w:tblGrid>
      <w:tr>
        <w:tblPrEx/>
        <w:trPr>
          <w:jc w:val="center"/>
          <w:tblHeader/>
        </w:trPr>
        <w:tc>
          <w:tcPr>
            <w:tcBorders>
              <w:top w:val="single" w:color="000000" w:sz="4" w:space="0"/>
              <w:left w:val="single" w:color="000000" w:sz="4" w:space="0"/>
              <w:bottom w:val="single" w:color="000000" w:sz="4" w:space="0"/>
              <w:right w:val="single" w:color="000000" w:sz="4" w:space="0"/>
            </w:tcBorders>
            <w:tcW w:w="607" w:type="dxa"/>
            <w:vAlign w:val="center"/>
            <w:textDirection w:val="lrTb"/>
            <w:noWrap w:val="false"/>
          </w:tcPr>
          <w:p>
            <w:pPr>
              <w:jc w:val="center"/>
              <w:keepLines/>
              <w:spacing w:after="0"/>
              <w:widowControl w:val="off"/>
              <w:rPr>
                <w:b/>
                <w:bCs/>
                <w:sz w:val="20"/>
                <w:szCs w:val="20"/>
              </w:rPr>
            </w:pPr>
            <w:r>
              <w:rPr>
                <w:b/>
                <w:bCs/>
                <w:sz w:val="20"/>
                <w:szCs w:val="20"/>
              </w:rPr>
              <w:t xml:space="preserve">№</w:t>
            </w:r>
            <w:r>
              <w:rPr>
                <w:b/>
                <w:bCs/>
                <w:sz w:val="20"/>
                <w:szCs w:val="20"/>
              </w:rPr>
            </w:r>
          </w:p>
          <w:p>
            <w:pPr>
              <w:jc w:val="center"/>
              <w:keepLines/>
              <w:spacing w:after="0"/>
              <w:widowControl w:val="off"/>
              <w:rPr>
                <w:b/>
                <w:bCs/>
                <w:sz w:val="20"/>
                <w:szCs w:val="20"/>
              </w:rPr>
            </w:pPr>
            <w:r>
              <w:rPr>
                <w:b/>
                <w:bCs/>
                <w:sz w:val="20"/>
                <w:szCs w:val="20"/>
              </w:rPr>
              <w:t xml:space="preserve">п</w:t>
            </w:r>
            <w:r>
              <w:rPr>
                <w:b/>
                <w:bCs/>
                <w:sz w:val="20"/>
                <w:szCs w:val="20"/>
              </w:rPr>
              <w:t xml:space="preserve">/п</w:t>
            </w:r>
            <w:r>
              <w:rPr>
                <w:b/>
                <w:bCs/>
                <w:sz w:val="20"/>
                <w:szCs w:val="20"/>
              </w:rPr>
            </w:r>
          </w:p>
        </w:tc>
        <w:tc>
          <w:tcPr>
            <w:tcBorders>
              <w:top w:val="single" w:color="000000" w:sz="4" w:space="0"/>
              <w:left w:val="single" w:color="000000" w:sz="4" w:space="0"/>
              <w:bottom w:val="single" w:color="000000" w:sz="4" w:space="0"/>
              <w:right w:val="single" w:color="000000" w:sz="4" w:space="0"/>
            </w:tcBorders>
            <w:tcW w:w="1817" w:type="dxa"/>
            <w:vAlign w:val="center"/>
            <w:textDirection w:val="lrTb"/>
            <w:noWrap w:val="false"/>
          </w:tcPr>
          <w:p>
            <w:pPr>
              <w:jc w:val="center"/>
              <w:keepLines/>
              <w:spacing w:after="0"/>
              <w:widowControl w:val="off"/>
              <w:rPr>
                <w:b/>
                <w:bCs/>
                <w:sz w:val="14"/>
                <w:szCs w:val="14"/>
              </w:rPr>
            </w:pPr>
            <w:r>
              <w:rPr>
                <w:b/>
                <w:bCs/>
                <w:sz w:val="14"/>
                <w:szCs w:val="14"/>
              </w:rPr>
              <w:t xml:space="preserve">Ссылка на разделы, подразделы, пункты и подпункты части «</w:t>
            </w:r>
            <w:r>
              <w:fldChar w:fldCharType="begin"/>
            </w:r>
            <w:r>
              <w:instrText xml:space="preserve"> REF _Ref166642713 \h </w:instrText>
            </w:r>
            <w:r>
              <w:fldChar w:fldCharType="separate"/>
            </w:r>
            <w:r>
              <w:t xml:space="preserve">ОБЩИЕ УСЛОВИЯ ПРОВЕДЕНИЯ </w:t>
            </w:r>
            <w:r>
              <w:fldChar w:fldCharType="end"/>
            </w:r>
            <w:r>
              <w:rPr>
                <w:sz w:val="14"/>
                <w:szCs w:val="14"/>
              </w:rPr>
              <w:t xml:space="preserve">ЗАКУПКИ</w:t>
            </w:r>
            <w:r>
              <w:rPr>
                <w:b/>
                <w:bCs/>
                <w:sz w:val="14"/>
                <w:szCs w:val="14"/>
              </w:rPr>
              <w:t xml:space="preserve">»</w:t>
            </w:r>
            <w:r>
              <w:rPr>
                <w:b/>
                <w:bCs/>
                <w:sz w:val="14"/>
                <w:szCs w:val="14"/>
              </w:rPr>
            </w:r>
          </w:p>
        </w:tc>
        <w:tc>
          <w:tcPr>
            <w:tcBorders>
              <w:top w:val="single" w:color="000000" w:sz="4" w:space="0"/>
              <w:left w:val="single" w:color="000000" w:sz="4" w:space="0"/>
              <w:bottom w:val="single" w:color="000000" w:sz="4" w:space="0"/>
              <w:right w:val="single" w:color="000000" w:sz="4" w:space="0"/>
            </w:tcBorders>
            <w:tcW w:w="2140" w:type="dxa"/>
            <w:vAlign w:val="center"/>
            <w:textDirection w:val="lrTb"/>
            <w:noWrap w:val="false"/>
          </w:tcPr>
          <w:p>
            <w:pPr>
              <w:jc w:val="center"/>
              <w:keepLines/>
              <w:spacing w:after="0"/>
              <w:widowControl w:val="off"/>
              <w:rPr>
                <w:b/>
                <w:bCs/>
                <w:sz w:val="18"/>
                <w:szCs w:val="18"/>
              </w:rPr>
            </w:pPr>
            <w:r>
              <w:rPr>
                <w:b/>
                <w:bCs/>
                <w:sz w:val="18"/>
                <w:szCs w:val="18"/>
              </w:rPr>
              <w:t xml:space="preserve">Наименование</w:t>
            </w:r>
            <w:r>
              <w:rPr>
                <w:b/>
                <w:bCs/>
                <w:sz w:val="18"/>
                <w:szCs w:val="18"/>
              </w:rPr>
            </w:r>
          </w:p>
        </w:tc>
        <w:tc>
          <w:tcPr>
            <w:tcBorders>
              <w:top w:val="single" w:color="000000" w:sz="4" w:space="0"/>
              <w:left w:val="single" w:color="000000" w:sz="4" w:space="0"/>
              <w:bottom w:val="single" w:color="000000" w:sz="4" w:space="0"/>
              <w:right w:val="single" w:color="000000" w:sz="4" w:space="0"/>
            </w:tcBorders>
            <w:tcW w:w="5891" w:type="dxa"/>
            <w:vAlign w:val="center"/>
            <w:textDirection w:val="lrTb"/>
            <w:noWrap w:val="false"/>
          </w:tcPr>
          <w:p>
            <w:pPr>
              <w:jc w:val="center"/>
              <w:keepLines/>
              <w:spacing w:after="120"/>
              <w:widowControl w:val="off"/>
              <w:rPr>
                <w:b/>
                <w:bCs/>
                <w:sz w:val="20"/>
                <w:szCs w:val="20"/>
              </w:rPr>
            </w:pPr>
            <w:r>
              <w:rPr>
                <w:b/>
                <w:bCs/>
                <w:sz w:val="20"/>
                <w:szCs w:val="20"/>
              </w:rPr>
              <w:t xml:space="preserve">Информация</w:t>
            </w:r>
            <w:r>
              <w:rPr>
                <w:b/>
                <w:bCs/>
                <w:sz w:val="20"/>
                <w:szCs w:val="20"/>
              </w:rPr>
            </w:r>
          </w:p>
        </w:tc>
      </w:tr>
      <w:tr>
        <w:tblPrEx/>
        <w:trPr>
          <w:jc w:val="center"/>
          <w:trHeight w:val="1250"/>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27" w:name="_Ref166267282"/>
            <w:r/>
            <w:bookmarkEnd w:id="727"/>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keepLines/>
              <w:spacing w:after="0"/>
              <w:widowControl w:val="off"/>
              <w:rPr>
                <w:sz w:val="20"/>
                <w:szCs w:val="20"/>
              </w:rPr>
            </w:pPr>
            <w:r>
              <w:rPr>
                <w:sz w:val="20"/>
                <w:szCs w:val="20"/>
              </w:rPr>
              <w:t xml:space="preserve">1.2.1</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bCs/>
                <w:sz w:val="18"/>
                <w:szCs w:val="18"/>
              </w:rPr>
              <w:t xml:space="preserve">Наименование, место нахождения, почтовый адрес, адрес электронной почты, номер контактного телефона Заказчика</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0"/>
              <w:widowControl w:val="off"/>
              <w:rPr>
                <w:sz w:val="20"/>
                <w:szCs w:val="20"/>
              </w:rPr>
            </w:pPr>
            <w:r>
              <w:rPr>
                <w:b/>
                <w:sz w:val="20"/>
                <w:szCs w:val="20"/>
              </w:rPr>
              <w:t xml:space="preserve">Наименование Заказчика:</w:t>
            </w:r>
            <w:r>
              <w:rPr>
                <w:sz w:val="20"/>
                <w:szCs w:val="20"/>
              </w:rPr>
            </w:r>
          </w:p>
          <w:p>
            <w:pPr>
              <w:spacing w:after="120"/>
              <w:widowControl w:val="off"/>
              <w:rPr>
                <w:sz w:val="20"/>
                <w:szCs w:val="20"/>
              </w:rPr>
            </w:pPr>
            <w:r>
              <w:rPr>
                <w:sz w:val="20"/>
                <w:szCs w:val="20"/>
              </w:rPr>
              <w:t xml:space="preserve">АО «</w:t>
            </w:r>
            <w:r>
              <w:rPr>
                <w:sz w:val="20"/>
                <w:szCs w:val="20"/>
              </w:rPr>
              <w:t xml:space="preserve">Россети</w:t>
            </w:r>
            <w:r>
              <w:rPr>
                <w:sz w:val="20"/>
                <w:szCs w:val="20"/>
              </w:rPr>
              <w:t xml:space="preserve"> Цифра»</w:t>
            </w:r>
            <w:r>
              <w:rPr>
                <w:sz w:val="20"/>
                <w:szCs w:val="20"/>
              </w:rPr>
            </w:r>
          </w:p>
          <w:p>
            <w:pPr>
              <w:spacing w:after="0"/>
              <w:widowControl w:val="off"/>
              <w:rPr>
                <w:sz w:val="20"/>
                <w:szCs w:val="20"/>
              </w:rPr>
            </w:pPr>
            <w:r>
              <w:rPr>
                <w:b/>
                <w:sz w:val="20"/>
                <w:szCs w:val="20"/>
              </w:rPr>
              <w:t xml:space="preserve">Место нахождения и почтовый адрес Заказчика</w:t>
            </w:r>
            <w:r>
              <w:rPr>
                <w:sz w:val="20"/>
                <w:szCs w:val="20"/>
              </w:rPr>
              <w:t xml:space="preserve">:</w:t>
            </w:r>
            <w:r>
              <w:rPr>
                <w:sz w:val="20"/>
                <w:szCs w:val="20"/>
              </w:rPr>
            </w:r>
          </w:p>
          <w:p>
            <w:pPr>
              <w:spacing w:after="0"/>
              <w:widowControl w:val="off"/>
              <w:rPr>
                <w:sz w:val="20"/>
                <w:szCs w:val="20"/>
              </w:rPr>
            </w:pPr>
            <w:r>
              <w:rPr>
                <w:sz w:val="20"/>
                <w:szCs w:val="20"/>
              </w:rPr>
              <w:t xml:space="preserve">123060, г. Москва, </w:t>
            </w:r>
            <w:r>
              <w:rPr>
                <w:sz w:val="20"/>
                <w:szCs w:val="20"/>
              </w:rPr>
              <w:t xml:space="preserve">вн</w:t>
            </w:r>
            <w:r>
              <w:rPr>
                <w:sz w:val="20"/>
                <w:szCs w:val="20"/>
              </w:rPr>
              <w:t xml:space="preserve">.т</w:t>
            </w:r>
            <w:r>
              <w:rPr>
                <w:sz w:val="20"/>
                <w:szCs w:val="20"/>
              </w:rPr>
              <w:t xml:space="preserve">ер.г</w:t>
            </w:r>
            <w:r>
              <w:rPr>
                <w:sz w:val="20"/>
                <w:szCs w:val="20"/>
              </w:rPr>
              <w:t xml:space="preserve">. муниципальный округ Щукино, проезд 1-Й Волоколамский, д. 10 стр. 3.</w:t>
            </w:r>
            <w:r>
              <w:rPr>
                <w:sz w:val="20"/>
                <w:szCs w:val="20"/>
              </w:rPr>
            </w:r>
          </w:p>
          <w:p>
            <w:pPr>
              <w:spacing w:after="0"/>
              <w:widowControl w:val="off"/>
              <w:rPr>
                <w:sz w:val="20"/>
                <w:szCs w:val="20"/>
                <w:lang w:val="en-US"/>
              </w:rPr>
            </w:pPr>
            <w:r>
              <w:rPr>
                <w:sz w:val="20"/>
                <w:szCs w:val="20"/>
                <w:lang w:val="en-US"/>
              </w:rPr>
              <w:t xml:space="preserve">E-mail: </w:t>
            </w:r>
            <w:r>
              <w:rPr>
                <w:sz w:val="20"/>
                <w:szCs w:val="20"/>
                <w:lang w:val="en-US"/>
              </w:rPr>
              <w:t xml:space="preserve">info@rosseti.digital</w:t>
            </w:r>
            <w:r>
              <w:rPr>
                <w:sz w:val="20"/>
                <w:szCs w:val="20"/>
                <w:lang w:val="en-US"/>
              </w:rPr>
            </w:r>
          </w:p>
          <w:p>
            <w:pPr>
              <w:keepLines/>
              <w:spacing w:after="0"/>
              <w:widowControl w:val="off"/>
              <w:rPr>
                <w:sz w:val="20"/>
                <w:szCs w:val="20"/>
                <w:lang w:val="en-US"/>
              </w:rPr>
            </w:pPr>
            <w:r>
              <w:rPr>
                <w:sz w:val="20"/>
                <w:szCs w:val="20"/>
                <w:lang w:val="en-US"/>
              </w:rPr>
              <w:t xml:space="preserve">Тел</w:t>
            </w:r>
            <w:r>
              <w:rPr>
                <w:sz w:val="20"/>
                <w:szCs w:val="20"/>
                <w:lang w:val="en-US"/>
              </w:rPr>
              <w:t xml:space="preserve">.: 7 (495) 710-43-34</w:t>
            </w:r>
            <w:r>
              <w:rPr>
                <w:sz w:val="20"/>
                <w:szCs w:val="20"/>
                <w:lang w:val="en-US"/>
              </w:rPr>
            </w:r>
          </w:p>
        </w:tc>
      </w:tr>
      <w:tr>
        <w:tblPrEx/>
        <w:trPr>
          <w:jc w:val="center"/>
          <w:trHeight w:val="2883"/>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lang w:val="en-US"/>
              </w:rPr>
            </w:pPr>
            <w:r>
              <w:rPr>
                <w:rFonts w:ascii="Times New Roman" w:hAnsi="Times New Roman" w:cs="Times New Roman"/>
                <w:sz w:val="20"/>
                <w:szCs w:val="20"/>
                <w:lang w:val="en-US"/>
              </w:rPr>
            </w:r>
            <w:r>
              <w:rPr>
                <w:rFonts w:ascii="Times New Roman" w:hAnsi="Times New Roman" w:cs="Times New Roman"/>
                <w:sz w:val="20"/>
                <w:szCs w:val="20"/>
                <w:lang w:val="en-US"/>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keepLines/>
              <w:spacing w:after="0"/>
              <w:widowControl w:val="off"/>
              <w:rPr>
                <w:sz w:val="20"/>
                <w:szCs w:val="20"/>
              </w:rPr>
            </w:pPr>
            <w:r>
              <w:rPr>
                <w:sz w:val="20"/>
                <w:szCs w:val="20"/>
              </w:rPr>
              <w:t xml:space="preserve">1.2.3</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bCs/>
                <w:sz w:val="18"/>
                <w:szCs w:val="18"/>
              </w:rPr>
            </w:pPr>
            <w:r>
              <w:rPr>
                <w:bCs/>
                <w:sz w:val="18"/>
                <w:szCs w:val="18"/>
              </w:rPr>
              <w:t xml:space="preserve">Наименование, место нахождения, почтовый адрес, адрес электронной почты, номер контактного телефона Организатора закупки</w:t>
            </w:r>
            <w:r>
              <w:rPr>
                <w:bCs/>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0"/>
              <w:rPr>
                <w:b/>
                <w:bCs/>
                <w:iCs/>
                <w:sz w:val="20"/>
                <w:szCs w:val="20"/>
              </w:rPr>
            </w:pPr>
            <w:r>
              <w:rPr>
                <w:b/>
                <w:bCs/>
                <w:iCs/>
                <w:sz w:val="20"/>
                <w:szCs w:val="20"/>
              </w:rPr>
              <w:t xml:space="preserve">Организатор закупки:</w:t>
            </w:r>
            <w:r>
              <w:rPr>
                <w:b/>
                <w:bCs/>
                <w:iCs/>
                <w:sz w:val="20"/>
                <w:szCs w:val="20"/>
              </w:rPr>
            </w:r>
          </w:p>
          <w:p>
            <w:pPr>
              <w:spacing w:after="0"/>
              <w:tabs>
                <w:tab w:val="left" w:pos="3255" w:leader="none"/>
              </w:tabs>
              <w:rPr>
                <w:sz w:val="20"/>
                <w:szCs w:val="20"/>
              </w:rPr>
            </w:pPr>
            <w:r>
              <w:rPr>
                <w:sz w:val="20"/>
                <w:szCs w:val="20"/>
              </w:rPr>
              <w:t xml:space="preserve">АО «</w:t>
            </w:r>
            <w:r>
              <w:rPr>
                <w:sz w:val="20"/>
                <w:szCs w:val="20"/>
              </w:rPr>
              <w:t xml:space="preserve">Россети</w:t>
            </w:r>
            <w:r>
              <w:rPr>
                <w:sz w:val="20"/>
                <w:szCs w:val="20"/>
              </w:rPr>
              <w:t xml:space="preserve"> Центр закупок»</w:t>
            </w:r>
            <w:r>
              <w:rPr>
                <w:sz w:val="20"/>
                <w:szCs w:val="20"/>
              </w:rPr>
            </w:r>
          </w:p>
          <w:p>
            <w:pPr>
              <w:spacing w:after="0"/>
              <w:tabs>
                <w:tab w:val="left" w:pos="3255" w:leader="none"/>
              </w:tabs>
              <w:rPr>
                <w:sz w:val="20"/>
                <w:szCs w:val="20"/>
              </w:rPr>
            </w:pPr>
            <w:r>
              <w:rPr>
                <w:sz w:val="20"/>
                <w:szCs w:val="20"/>
              </w:rPr>
              <w:t xml:space="preserve">Место нахождения и почтовый адрес Организатора:</w:t>
            </w:r>
            <w:r>
              <w:rPr>
                <w:sz w:val="20"/>
                <w:szCs w:val="20"/>
              </w:rPr>
            </w:r>
          </w:p>
          <w:p>
            <w:pPr>
              <w:jc w:val="left"/>
              <w:spacing w:after="0"/>
              <w:tabs>
                <w:tab w:val="left" w:pos="3255" w:leader="none"/>
              </w:tabs>
              <w:rPr>
                <w:sz w:val="20"/>
                <w:szCs w:val="20"/>
              </w:rPr>
            </w:pPr>
            <w:r>
              <w:rPr>
                <w:sz w:val="20"/>
                <w:szCs w:val="20"/>
              </w:rPr>
              <w:t xml:space="preserve">121353, г. Москва, ВН</w:t>
            </w:r>
            <w:r>
              <w:rPr>
                <w:sz w:val="20"/>
                <w:szCs w:val="20"/>
              </w:rPr>
              <w:t xml:space="preserve">.Т</w:t>
            </w:r>
            <w:r>
              <w:rPr>
                <w:sz w:val="20"/>
                <w:szCs w:val="20"/>
              </w:rPr>
              <w:t xml:space="preserve">ЕР.Г.  Муниципальный округ Можайский, ул. Беловежская, д.4</w:t>
            </w:r>
            <w:r>
              <w:rPr>
                <w:sz w:val="20"/>
                <w:szCs w:val="20"/>
              </w:rPr>
            </w:r>
          </w:p>
          <w:p>
            <w:pPr>
              <w:keepLines/>
              <w:keepNext/>
              <w:spacing w:after="0"/>
              <w:widowControl w:val="off"/>
              <w:rPr>
                <w:lang w:val="en-US"/>
              </w:rPr>
            </w:pPr>
            <w:r>
              <w:rPr>
                <w:rFonts w:ascii="Tinos" w:hAnsi="Tinos" w:eastAsia="Tinos" w:cs="Tinos"/>
                <w:bCs/>
                <w:iCs/>
                <w:sz w:val="20"/>
                <w:szCs w:val="20"/>
                <w:lang w:val="en-US"/>
              </w:rPr>
              <w:t xml:space="preserve">E-mail: </w:t>
            </w:r>
            <w:hyperlink r:id="rId41" w:tooltip="mailto:info@essk.ru" w:history="1">
              <w:r>
                <w:rPr>
                  <w:rFonts w:ascii="Tinos" w:hAnsi="Tinos" w:eastAsia="Tinos" w:cs="Tinos"/>
                  <w:bCs/>
                  <w:iCs/>
                  <w:color w:val="0563c1"/>
                  <w:sz w:val="20"/>
                  <w:szCs w:val="20"/>
                  <w:u w:val="single"/>
                  <w:lang w:val="en-US"/>
                </w:rPr>
                <w:t xml:space="preserve">info@</w:t>
              </w:r>
            </w:hyperlink>
            <w:r>
              <w:rPr>
                <w:rStyle w:val="1177"/>
                <w:rFonts w:ascii="Tinos" w:hAnsi="Tinos" w:eastAsia="Tinos" w:cs="Tinos"/>
                <w:bCs/>
                <w:iCs/>
                <w:sz w:val="20"/>
                <w:szCs w:val="20"/>
                <w:lang w:val="en-US"/>
              </w:rPr>
              <w:t xml:space="preserve">rosseti-zakupki.ru</w:t>
            </w:r>
            <w:r>
              <w:rPr>
                <w:lang w:val="en-US"/>
              </w:rPr>
            </w:r>
          </w:p>
          <w:p>
            <w:pPr>
              <w:spacing w:after="0"/>
              <w:widowControl w:val="off"/>
              <w:rPr>
                <w:rFonts w:ascii="Tinos" w:hAnsi="Tinos" w:eastAsia="Tinos" w:cs="Tinos"/>
                <w:bCs/>
                <w:iCs/>
                <w:sz w:val="20"/>
                <w:szCs w:val="20"/>
              </w:rPr>
            </w:pPr>
            <w:r>
              <w:rPr>
                <w:rFonts w:ascii="Tinos" w:hAnsi="Tinos" w:eastAsia="Tinos" w:cs="Tinos"/>
                <w:bCs/>
                <w:iCs/>
                <w:sz w:val="20"/>
                <w:szCs w:val="20"/>
              </w:rPr>
              <w:t xml:space="preserve">Тел.: (495) 710-93-33 доб. 30-14</w:t>
            </w:r>
            <w:r>
              <w:rPr>
                <w:rFonts w:ascii="Tinos" w:hAnsi="Tinos" w:eastAsia="Tinos" w:cs="Tinos"/>
                <w:bCs/>
                <w:iCs/>
                <w:sz w:val="20"/>
                <w:szCs w:val="20"/>
              </w:rPr>
            </w:r>
          </w:p>
          <w:p>
            <w:pPr>
              <w:spacing w:after="0"/>
              <w:widowControl w:val="off"/>
              <w:rPr>
                <w:rFonts w:ascii="Tinos" w:hAnsi="Tinos" w:eastAsia="Tinos" w:cs="Tinos"/>
                <w:bCs/>
                <w:iCs/>
                <w:sz w:val="20"/>
                <w:szCs w:val="20"/>
              </w:rPr>
            </w:pPr>
            <w:r>
              <w:rPr>
                <w:rFonts w:ascii="Tinos" w:hAnsi="Tinos" w:eastAsia="Tinos" w:cs="Tinos"/>
                <w:bCs/>
                <w:iCs/>
                <w:sz w:val="20"/>
                <w:szCs w:val="20"/>
              </w:rPr>
            </w:r>
            <w:r>
              <w:rPr>
                <w:rFonts w:ascii="Tinos" w:hAnsi="Tinos" w:eastAsia="Tinos" w:cs="Tinos"/>
                <w:bCs/>
                <w:iCs/>
                <w:sz w:val="20"/>
                <w:szCs w:val="20"/>
              </w:rPr>
            </w:r>
          </w:p>
          <w:p>
            <w:pPr>
              <w:spacing w:after="0"/>
              <w:rPr>
                <w:b/>
                <w:sz w:val="20"/>
                <w:szCs w:val="20"/>
              </w:rPr>
            </w:pPr>
            <w:r>
              <w:rPr>
                <w:b/>
                <w:bCs/>
                <w:iCs/>
                <w:sz w:val="20"/>
                <w:szCs w:val="20"/>
              </w:rPr>
              <w:t xml:space="preserve">Контактное лицо Организатора:</w:t>
            </w:r>
            <w:r>
              <w:rPr>
                <w:b/>
                <w:sz w:val="20"/>
                <w:szCs w:val="20"/>
              </w:rPr>
            </w:r>
          </w:p>
          <w:p>
            <w:pPr>
              <w:rPr>
                <w:sz w:val="20"/>
                <w:szCs w:val="20"/>
              </w:rPr>
            </w:pPr>
            <w:r>
              <w:rPr>
                <w:sz w:val="20"/>
                <w:szCs w:val="20"/>
              </w:rPr>
              <w:t xml:space="preserve">Филиппова Е.А., главный эксперт – руководитель направления регионального развития АО «</w:t>
            </w:r>
            <w:r>
              <w:rPr>
                <w:sz w:val="20"/>
                <w:szCs w:val="20"/>
              </w:rPr>
              <w:t xml:space="preserve">Россети</w:t>
            </w:r>
            <w:r>
              <w:rPr>
                <w:sz w:val="20"/>
                <w:szCs w:val="20"/>
              </w:rPr>
              <w:t xml:space="preserve"> Центр закупок».</w:t>
            </w:r>
            <w:r>
              <w:rPr>
                <w:sz w:val="20"/>
                <w:szCs w:val="20"/>
              </w:rPr>
            </w:r>
          </w:p>
          <w:p>
            <w:pPr>
              <w:rPr>
                <w:lang w:val="en-US"/>
              </w:rPr>
            </w:pPr>
            <w:r>
              <w:rPr>
                <w:sz w:val="20"/>
                <w:szCs w:val="20"/>
                <w:lang w:val="en-US"/>
              </w:rPr>
              <w:t xml:space="preserve">E-mail: </w:t>
            </w:r>
            <w:hyperlink r:id="rId42" w:tooltip="mailto:e.filippova@essk.ru" w:history="1">
              <w:r>
                <w:rPr>
                  <w:rStyle w:val="1177"/>
                  <w:sz w:val="20"/>
                  <w:szCs w:val="20"/>
                  <w:lang w:val="en-US"/>
                </w:rPr>
                <w:t xml:space="preserve">e.filippova@essk.ru</w:t>
              </w:r>
            </w:hyperlink>
            <w:r/>
            <w:r>
              <w:rPr>
                <w:lang w:val="en-US"/>
              </w:rPr>
            </w:r>
          </w:p>
          <w:p>
            <w:pPr>
              <w:rPr>
                <w:sz w:val="20"/>
                <w:szCs w:val="20"/>
              </w:rPr>
            </w:pPr>
            <w:r>
              <w:rPr>
                <w:sz w:val="20"/>
                <w:szCs w:val="20"/>
              </w:rPr>
              <w:t xml:space="preserve">Тел.: +7 (495) 710-93-33 доб. 30-57</w:t>
            </w:r>
            <w:r>
              <w:rPr>
                <w:sz w:val="20"/>
                <w:szCs w:val="20"/>
              </w:rPr>
            </w:r>
          </w:p>
        </w:tc>
      </w:tr>
      <w:tr>
        <w:tblPrEx/>
        <w:trPr>
          <w:jc w:val="center"/>
          <w:trHeight w:val="1409"/>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28" w:name="_Ref166267499"/>
            <w:r/>
            <w:bookmarkStart w:id="729" w:name="_Ref166267456"/>
            <w:r/>
            <w:bookmarkStart w:id="730" w:name="_Ref354428801"/>
            <w:r/>
            <w:bookmarkStart w:id="731" w:name="_Ref166267388"/>
            <w:r/>
            <w:bookmarkEnd w:id="728"/>
            <w:r/>
            <w:bookmarkEnd w:id="729"/>
            <w:r/>
            <w:bookmarkEnd w:id="730"/>
            <w:r/>
            <w:bookmarkEnd w:id="731"/>
            <w:r/>
            <w:r>
              <w:rPr>
                <w:rFonts w:ascii="Times New Roman" w:hAnsi="Times New Roman" w:cs="Times New Roman"/>
                <w:sz w:val="20"/>
                <w:szCs w:val="20"/>
              </w:rPr>
            </w:r>
          </w:p>
          <w:p>
            <w:pPr>
              <w:pStyle w:val="1118"/>
              <w:ind w:left="0"/>
              <w:keepLines/>
              <w:keepNext w:val="0"/>
              <w:spacing w:before="0" w:after="0"/>
              <w:widowControl w:val="off"/>
              <w:tabs>
                <w:tab w:val="left" w:pos="284" w:leader="none"/>
                <w:tab w:val="clear" w:pos="312"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p>
            <w:pPr>
              <w:keepLines/>
              <w:widowControl w:val="off"/>
              <w:tabs>
                <w:tab w:val="left" w:pos="284" w:leader="none"/>
              </w:tabs>
              <w:rPr>
                <w:b/>
                <w:bCs/>
                <w:sz w:val="20"/>
                <w:szCs w:val="20"/>
              </w:rPr>
            </w:pPr>
            <w:r/>
            <w:bookmarkStart w:id="732" w:name="_Ref354428801_Копия_1"/>
            <w:r/>
            <w:bookmarkEnd w:id="732"/>
            <w:r/>
            <w:r>
              <w:rPr>
                <w:b/>
                <w:bCs/>
                <w:sz w:val="20"/>
                <w:szCs w:val="20"/>
              </w:rPr>
            </w:r>
          </w:p>
          <w:p>
            <w:pPr>
              <w:keepLines/>
              <w:widowControl w:val="off"/>
              <w:tabs>
                <w:tab w:val="left" w:pos="284" w:leader="none"/>
              </w:tabs>
              <w:rPr>
                <w:b/>
                <w:bCs/>
                <w:sz w:val="20"/>
                <w:szCs w:val="20"/>
              </w:rPr>
            </w:pPr>
            <w:r>
              <w:rPr>
                <w:b/>
                <w:bCs/>
                <w:sz w:val="20"/>
                <w:szCs w:val="20"/>
              </w:rPr>
            </w:r>
            <w:r>
              <w:rPr>
                <w:b/>
                <w:bCs/>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1.2.1</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Предмет закупки</w:t>
            </w:r>
            <w:r>
              <w:rPr>
                <w:sz w:val="18"/>
                <w:szCs w:val="18"/>
              </w:rPr>
            </w:r>
          </w:p>
        </w:tc>
        <w:tc>
          <w:tcPr>
            <w:shd w:val="clear" w:color="auto" w:fill="auto"/>
            <w:tcBorders>
              <w:top w:val="single" w:color="000000" w:sz="4" w:space="0"/>
              <w:left w:val="single" w:color="000000" w:sz="4" w:space="0"/>
              <w:bottom w:val="single" w:color="000000" w:sz="4" w:space="0"/>
              <w:right w:val="single" w:color="000000" w:sz="4" w:space="0"/>
            </w:tcBorders>
            <w:tcW w:w="5891" w:type="dxa"/>
            <w:textDirection w:val="lrTb"/>
            <w:noWrap w:val="false"/>
          </w:tcPr>
          <w:p>
            <w:pPr>
              <w:rPr>
                <w:sz w:val="20"/>
                <w:szCs w:val="20"/>
              </w:rPr>
            </w:pPr>
            <w:r>
              <w:rPr>
                <w:sz w:val="20"/>
                <w:szCs w:val="20"/>
              </w:rPr>
              <w:t xml:space="preserve">Право заключения договора на оказание </w:t>
            </w:r>
            <w:r>
              <w:rPr>
                <w:sz w:val="20"/>
                <w:szCs w:val="20"/>
              </w:rPr>
              <w:t xml:space="preserve">услуг по сопровождению и технической поддержке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w:t>
            </w:r>
            <w:r>
              <w:rPr>
                <w:sz w:val="20"/>
                <w:szCs w:val="20"/>
              </w:rPr>
              <w:t xml:space="preserve">АСУИИиК</w:t>
            </w:r>
            <w:r>
              <w:rPr>
                <w:sz w:val="20"/>
                <w:szCs w:val="20"/>
              </w:rPr>
              <w:t xml:space="preserve">)</w:t>
            </w:r>
            <w:r>
              <w:rPr>
                <w:sz w:val="20"/>
                <w:szCs w:val="20"/>
              </w:rPr>
              <w:t xml:space="preserve">.</w:t>
            </w:r>
            <w:r>
              <w:rPr>
                <w:sz w:val="20"/>
                <w:szCs w:val="20"/>
              </w:rPr>
            </w:r>
          </w:p>
          <w:p>
            <w:pPr>
              <w:keepLines/>
              <w:spacing w:after="120"/>
              <w:widowControl w:val="off"/>
              <w:rPr>
                <w:sz w:val="20"/>
                <w:szCs w:val="20"/>
              </w:rPr>
            </w:pPr>
            <w:r>
              <w:rPr>
                <w:sz w:val="20"/>
                <w:szCs w:val="20"/>
              </w:rPr>
              <w:t xml:space="preserve">Описание предмета закупки в соответствии с частью 6.1 статьи 3 Закона 223-ФЗ установлено в части </w:t>
            </w:r>
            <w:r>
              <w:rPr>
                <w:sz w:val="20"/>
                <w:szCs w:val="20"/>
                <w:lang w:val="en-US"/>
              </w:rPr>
              <w:t xml:space="preserve">V</w:t>
            </w:r>
            <w:r>
              <w:rPr>
                <w:sz w:val="20"/>
                <w:szCs w:val="20"/>
              </w:rPr>
              <w:t xml:space="preserve"> «Техническая часть» документации о закупке.</w:t>
            </w:r>
            <w:r>
              <w:rPr>
                <w:sz w:val="20"/>
                <w:szCs w:val="20"/>
              </w:rPr>
            </w:r>
          </w:p>
        </w:tc>
      </w:tr>
      <w:tr>
        <w:tblPrEx/>
        <w:trPr>
          <w:jc w:val="center"/>
          <w:trHeight w:val="442"/>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33" w:name="_Ref166267457"/>
            <w:r/>
            <w:bookmarkStart w:id="734" w:name="_Ref354440659"/>
            <w:r/>
            <w:bookmarkEnd w:id="733"/>
            <w:r/>
            <w:bookmarkEnd w:id="734"/>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1.2.1</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Место, условия и сроки (периоды) поставки товара, выполнения работы, оказания услуги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120"/>
              <w:tabs>
                <w:tab w:val="left" w:pos="709" w:leader="none"/>
              </w:tabs>
              <w:rPr>
                <w:sz w:val="20"/>
                <w:szCs w:val="20"/>
              </w:rPr>
            </w:pPr>
            <w:r>
              <w:rPr>
                <w:sz w:val="20"/>
                <w:szCs w:val="20"/>
              </w:rPr>
              <w:t xml:space="preserve">Место оказания услуг: </w:t>
            </w:r>
            <w:r>
              <w:rPr>
                <w:sz w:val="20"/>
                <w:szCs w:val="20"/>
              </w:rPr>
              <w:t xml:space="preserve">на территории Исполнителя</w:t>
            </w:r>
            <w:r>
              <w:rPr>
                <w:sz w:val="20"/>
                <w:szCs w:val="20"/>
              </w:rPr>
              <w:t xml:space="preserve">.</w:t>
            </w:r>
            <w:r>
              <w:rPr>
                <w:sz w:val="20"/>
                <w:szCs w:val="20"/>
              </w:rPr>
            </w:r>
          </w:p>
          <w:p>
            <w:pPr>
              <w:spacing w:after="120"/>
              <w:tabs>
                <w:tab w:val="left" w:pos="709" w:leader="none"/>
              </w:tabs>
              <w:rPr>
                <w:sz w:val="20"/>
                <w:szCs w:val="20"/>
              </w:rPr>
            </w:pPr>
            <w:r>
              <w:rPr>
                <w:sz w:val="20"/>
                <w:szCs w:val="20"/>
              </w:rPr>
              <w:t xml:space="preserve">Срок оказания услуг: </w:t>
            </w:r>
            <w:r>
              <w:rPr>
                <w:sz w:val="20"/>
                <w:szCs w:val="20"/>
              </w:rPr>
              <w:t xml:space="preserve">с даты подписания</w:t>
            </w:r>
            <w:r>
              <w:rPr>
                <w:sz w:val="20"/>
                <w:szCs w:val="20"/>
              </w:rPr>
              <w:t xml:space="preserve"> договора по «31» июля 2028г.</w:t>
            </w:r>
            <w:r>
              <w:rPr>
                <w:sz w:val="20"/>
                <w:szCs w:val="20"/>
              </w:rPr>
            </w:r>
          </w:p>
          <w:p>
            <w:pPr>
              <w:spacing w:after="120"/>
              <w:tabs>
                <w:tab w:val="left" w:pos="709" w:leader="none"/>
              </w:tabs>
              <w:rPr>
                <w:sz w:val="20"/>
                <w:szCs w:val="20"/>
              </w:rPr>
            </w:pPr>
            <w:r>
              <w:rPr>
                <w:sz w:val="20"/>
                <w:szCs w:val="20"/>
              </w:rPr>
              <w:t xml:space="preserve">Условия оказания услуг указаны в части </w:t>
            </w:r>
            <w:r>
              <w:rPr>
                <w:sz w:val="20"/>
                <w:szCs w:val="20"/>
                <w:lang w:val="en-US"/>
              </w:rPr>
              <w:t xml:space="preserve">IV</w:t>
            </w:r>
            <w:r>
              <w:rPr>
                <w:sz w:val="20"/>
                <w:szCs w:val="20"/>
              </w:rPr>
              <w:t xml:space="preserve"> «Проект договора» документации о закупке.</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Next w:val="0"/>
              <w:spacing w:before="0" w:after="0"/>
              <w:widowControl w:val="off"/>
              <w:tabs>
                <w:tab w:val="left" w:pos="284" w:leader="none"/>
              </w:tabs>
              <w:rPr>
                <w:rFonts w:ascii="Times New Roman" w:hAnsi="Times New Roman" w:cs="Times New Roman"/>
                <w:sz w:val="20"/>
                <w:szCs w:val="20"/>
              </w:rPr>
            </w:pPr>
            <w:r/>
            <w:bookmarkStart w:id="735" w:name="_Ref354428953"/>
            <w:r/>
            <w:bookmarkStart w:id="736" w:name="_Ref166267727"/>
            <w:r/>
            <w:bookmarkEnd w:id="735"/>
            <w:r/>
            <w:bookmarkEnd w:id="736"/>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spacing w:after="0"/>
              <w:widowControl w:val="off"/>
              <w:rPr>
                <w:sz w:val="20"/>
                <w:szCs w:val="20"/>
              </w:rPr>
            </w:pPr>
            <w:r>
              <w:rPr>
                <w:sz w:val="20"/>
                <w:szCs w:val="20"/>
              </w:rPr>
              <w:t xml:space="preserve">1.3.1, 3.5.1</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spacing w:after="0"/>
              <w:widowControl w:val="off"/>
              <w:rPr>
                <w:sz w:val="18"/>
                <w:szCs w:val="18"/>
              </w:rPr>
            </w:pPr>
            <w:r>
              <w:rPr>
                <w:sz w:val="18"/>
                <w:szCs w:val="18"/>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tabs>
                <w:tab w:val="left" w:pos="1100" w:leader="none"/>
              </w:tabs>
              <w:rPr>
                <w:sz w:val="20"/>
                <w:szCs w:val="20"/>
              </w:rPr>
            </w:pPr>
            <w:r>
              <w:rPr>
                <w:sz w:val="20"/>
                <w:szCs w:val="20"/>
              </w:rPr>
              <w:t xml:space="preserve">Начальная (максимальная) цена договора с учетом НДС составляет </w:t>
            </w:r>
            <w:r>
              <w:rPr>
                <w:sz w:val="20"/>
                <w:szCs w:val="20"/>
              </w:rPr>
              <w:t xml:space="preserve">82 219 693 (</w:t>
            </w:r>
            <w:r>
              <w:rPr>
                <w:sz w:val="20"/>
                <w:szCs w:val="20"/>
              </w:rPr>
              <w:t xml:space="preserve">В</w:t>
            </w:r>
            <w:r>
              <w:rPr>
                <w:sz w:val="20"/>
                <w:szCs w:val="20"/>
              </w:rPr>
              <w:t xml:space="preserve">осемьдесят два миллиона двести девятнадцать тысяч шестьсот девяносто три) рубля 44 копейки</w:t>
            </w:r>
            <w:r>
              <w:rPr>
                <w:sz w:val="20"/>
                <w:szCs w:val="20"/>
              </w:rPr>
              <w:t xml:space="preserve">.</w:t>
            </w:r>
            <w:r>
              <w:rPr>
                <w:sz w:val="20"/>
                <w:szCs w:val="20"/>
              </w:rPr>
            </w:r>
          </w:p>
          <w:p>
            <w:pPr>
              <w:tabs>
                <w:tab w:val="left" w:pos="1100" w:leader="none"/>
              </w:tabs>
              <w:rPr>
                <w:sz w:val="20"/>
                <w:szCs w:val="20"/>
              </w:rPr>
            </w:pPr>
            <w:r>
              <w:rPr>
                <w:sz w:val="20"/>
                <w:szCs w:val="20"/>
              </w:rPr>
              <w:t xml:space="preserve">Начальная (максимальная) цена договора вк</w:t>
            </w:r>
            <w:r>
              <w:rPr>
                <w:sz w:val="20"/>
                <w:szCs w:val="20"/>
              </w:rPr>
              <w:t xml:space="preserve">лючает в себя все затраты Исполнителя, связанные с исполнением Договора, в том числе, налоги, сборы, платежи, таможенные пошлины, другие обязательные отчисления, которые производятся Исполнителем в соответствии с установленным законодательством Российской </w:t>
            </w:r>
            <w:r>
              <w:rPr>
                <w:sz w:val="20"/>
                <w:szCs w:val="20"/>
              </w:rPr>
              <w:t xml:space="preserve">Федерации порядком, иные возможные затраты.</w:t>
            </w:r>
            <w:r>
              <w:rPr>
                <w:sz w:val="20"/>
                <w:szCs w:val="20"/>
              </w:rPr>
            </w:r>
          </w:p>
          <w:p>
            <w:pPr>
              <w:tabs>
                <w:tab w:val="left" w:pos="1100" w:leader="none"/>
              </w:tabs>
              <w:rPr>
                <w:sz w:val="20"/>
                <w:szCs w:val="20"/>
              </w:rPr>
            </w:pPr>
            <w:r>
              <w:rPr>
                <w:sz w:val="20"/>
                <w:szCs w:val="20"/>
              </w:rPr>
              <w:t xml:space="preserve">Все расходы должны быть включены в расценки и общую цену заявки, представленной участником закупки</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ind w:left="0"/>
              <w:keepLines/>
              <w:keepNext w:val="0"/>
              <w:spacing w:before="0" w:after="0"/>
              <w:widowControl w:val="off"/>
              <w:tabs>
                <w:tab w:val="left" w:pos="284" w:leader="none"/>
                <w:tab w:val="clear" w:pos="312" w:leader="none"/>
              </w:tabs>
              <w:rPr>
                <w:rFonts w:ascii="Times New Roman" w:hAnsi="Times New Roman" w:cs="Times New Roman"/>
                <w:sz w:val="20"/>
                <w:szCs w:val="20"/>
              </w:rPr>
            </w:pPr>
            <w:r>
              <w:rPr>
                <w:rFonts w:ascii="Times New Roman" w:hAnsi="Times New Roman" w:cs="Times New Roman"/>
                <w:b w:val="0"/>
                <w:sz w:val="20"/>
                <w:szCs w:val="20"/>
              </w:rPr>
              <w:t xml:space="preserve">5.1.</w:t>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1.3.2</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tabs>
                <w:tab w:val="left" w:pos="708" w:leader="none"/>
              </w:tabs>
              <w:rPr>
                <w:sz w:val="20"/>
                <w:szCs w:val="20"/>
              </w:rPr>
            </w:pPr>
            <w:r>
              <w:rPr>
                <w:sz w:val="20"/>
                <w:szCs w:val="20"/>
              </w:rPr>
              <w:t xml:space="preserve">Обоснование начальной (максимальной) единичной стоимости услуг приведено в части </w:t>
            </w:r>
            <w:r>
              <w:rPr>
                <w:sz w:val="20"/>
                <w:szCs w:val="20"/>
                <w:lang w:val="en-US"/>
              </w:rPr>
              <w:t xml:space="preserve">VI</w:t>
            </w:r>
            <w:r>
              <w:rPr>
                <w:sz w:val="20"/>
                <w:szCs w:val="20"/>
              </w:rPr>
              <w:t xml:space="preserve"> «Обоснование начальной (максимальной) единичной стоимости услуг» документации о закупке.</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1.2.1</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Форма, сроки и порядок оплаты товара, работы, услуги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rPr>
                <w:sz w:val="20"/>
                <w:szCs w:val="20"/>
              </w:rPr>
            </w:pPr>
            <w:r>
              <w:rPr>
                <w:sz w:val="20"/>
                <w:szCs w:val="20"/>
              </w:rPr>
              <w:t xml:space="preserve">Форма, сроки и порядок оплаты товара, работ, услуг установлены в части </w:t>
            </w:r>
            <w:r>
              <w:rPr>
                <w:sz w:val="20"/>
                <w:szCs w:val="20"/>
                <w:lang w:val="en-US"/>
              </w:rPr>
              <w:t xml:space="preserve">IV</w:t>
            </w:r>
            <w:r>
              <w:rPr>
                <w:sz w:val="20"/>
                <w:szCs w:val="20"/>
              </w:rPr>
              <w:t xml:space="preserve"> «Проект договора» документации о закупке</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6.1,6.2, 6.3, 6.4, 6.5, 7.4, 7.5, 7.6</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Применяемые этапы проведения закупки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52"/>
              <w:numPr>
                <w:ilvl w:val="0"/>
                <w:numId w:val="9"/>
              </w:numPr>
              <w:ind w:left="34" w:firstLine="0"/>
              <w:jc w:val="both"/>
              <w:spacing w:after="120"/>
              <w:widowControl w:val="off"/>
              <w:tabs>
                <w:tab w:val="left" w:pos="317" w:leader="none"/>
              </w:tabs>
              <w:rPr>
                <w:sz w:val="20"/>
                <w:szCs w:val="20"/>
              </w:rPr>
            </w:pPr>
            <w:r>
              <w:rPr>
                <w:sz w:val="20"/>
                <w:szCs w:val="20"/>
              </w:rPr>
              <w:t xml:space="preserve">Рассмотрение первых частей заявки</w:t>
            </w:r>
            <w:r>
              <w:rPr>
                <w:sz w:val="20"/>
                <w:szCs w:val="20"/>
              </w:rPr>
            </w:r>
          </w:p>
          <w:p>
            <w:pPr>
              <w:pStyle w:val="1352"/>
              <w:numPr>
                <w:ilvl w:val="0"/>
                <w:numId w:val="9"/>
              </w:numPr>
              <w:ind w:left="34" w:firstLine="0"/>
              <w:jc w:val="both"/>
              <w:spacing w:after="120"/>
              <w:widowControl w:val="off"/>
              <w:tabs>
                <w:tab w:val="left" w:pos="317" w:leader="none"/>
              </w:tabs>
              <w:rPr>
                <w:sz w:val="20"/>
                <w:szCs w:val="20"/>
              </w:rPr>
            </w:pPr>
            <w:r>
              <w:rPr>
                <w:sz w:val="20"/>
                <w:szCs w:val="20"/>
              </w:rPr>
              <w:t xml:space="preserve">Рассмотрение вторых частей заявки;</w:t>
            </w:r>
            <w:r>
              <w:rPr>
                <w:sz w:val="20"/>
                <w:szCs w:val="20"/>
              </w:rPr>
            </w:r>
          </w:p>
          <w:p>
            <w:pPr>
              <w:pStyle w:val="1352"/>
              <w:numPr>
                <w:ilvl w:val="0"/>
                <w:numId w:val="9"/>
              </w:numPr>
              <w:ind w:left="317" w:hanging="283"/>
              <w:jc w:val="both"/>
              <w:keepLines/>
              <w:spacing w:after="120"/>
              <w:widowControl w:val="off"/>
              <w:tabs>
                <w:tab w:val="left" w:pos="459" w:leader="none"/>
              </w:tabs>
              <w:rPr>
                <w:sz w:val="20"/>
                <w:szCs w:val="20"/>
              </w:rPr>
            </w:pPr>
            <w:r>
              <w:rPr>
                <w:sz w:val="20"/>
                <w:szCs w:val="20"/>
              </w:rPr>
              <w:t xml:space="preserve">Сопоставление дополнительных ценовых предложений участников закупки о снижении цены договора.</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4.1.1, 6.1.2, 6.2.2, 6.3.1, 6.4.3</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spacing w:after="0"/>
              <w:widowControl w:val="off"/>
              <w:rPr>
                <w:sz w:val="18"/>
                <w:szCs w:val="18"/>
              </w:rPr>
            </w:pPr>
            <w:r>
              <w:rPr>
                <w:sz w:val="18"/>
                <w:szCs w:val="18"/>
              </w:rPr>
              <w:t xml:space="preserve">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r>
              <w:rPr>
                <w:sz w:val="18"/>
                <w:szCs w:val="18"/>
              </w:rPr>
            </w:r>
          </w:p>
          <w:p>
            <w:pPr>
              <w:keepLines/>
              <w:spacing w:after="0"/>
              <w:widowControl w:val="off"/>
              <w:rPr>
                <w:sz w:val="18"/>
                <w:szCs w:val="18"/>
              </w:rPr>
            </w:pPr>
            <w:r>
              <w:rPr>
                <w:sz w:val="18"/>
                <w:szCs w:val="18"/>
              </w:rPr>
              <w:t xml:space="preserve">Дата рассмотрения предложений участников такой закупки и подведения итогов такой закупки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60"/>
              <w:jc w:val="both"/>
              <w:widowControl w:val="off"/>
              <w:rPr>
                <w:color w:val="auto"/>
                <w:sz w:val="20"/>
                <w:szCs w:val="20"/>
                <w:lang w:eastAsia="ru-RU"/>
              </w:rPr>
            </w:pPr>
            <w:r>
              <w:rPr>
                <w:color w:val="auto"/>
                <w:sz w:val="20"/>
                <w:szCs w:val="20"/>
                <w:lang w:eastAsia="ru-RU"/>
              </w:rPr>
              <w:t xml:space="preserve">Заявка подается в электронной форме с использованием функционала и в соответствии с Регламентом работы ЕЭТП.</w:t>
            </w:r>
            <w:r>
              <w:rPr>
                <w:color w:val="auto"/>
                <w:sz w:val="20"/>
                <w:szCs w:val="20"/>
                <w:lang w:eastAsia="ru-RU"/>
              </w:rPr>
            </w:r>
          </w:p>
          <w:p>
            <w:pPr>
              <w:spacing w:after="0"/>
              <w:widowControl w:val="off"/>
              <w:rPr>
                <w:sz w:val="20"/>
                <w:szCs w:val="20"/>
              </w:rPr>
            </w:pPr>
            <w:r>
              <w:rPr>
                <w:sz w:val="20"/>
                <w:szCs w:val="20"/>
              </w:rPr>
            </w:r>
            <w:r>
              <w:rPr>
                <w:sz w:val="20"/>
                <w:szCs w:val="20"/>
              </w:rPr>
            </w:r>
          </w:p>
          <w:p>
            <w:pPr>
              <w:keepLines/>
              <w:spacing w:after="0"/>
              <w:widowControl w:val="off"/>
              <w:rPr>
                <w:sz w:val="20"/>
                <w:szCs w:val="20"/>
              </w:rPr>
            </w:pPr>
            <w:r>
              <w:rPr>
                <w:sz w:val="20"/>
                <w:szCs w:val="20"/>
                <w:u w:val="single"/>
              </w:rPr>
              <w:t xml:space="preserve">Подача заявок:</w:t>
            </w:r>
            <w:r>
              <w:rPr>
                <w:sz w:val="20"/>
                <w:szCs w:val="20"/>
              </w:rPr>
            </w:r>
          </w:p>
          <w:p>
            <w:pPr>
              <w:pStyle w:val="1115"/>
              <w:jc w:val="both"/>
              <w:keepLines/>
              <w:spacing w:before="0" w:after="0"/>
              <w:widowControl w:val="off"/>
              <w:rPr>
                <w:rFonts w:ascii="Times New Roman" w:hAnsi="Times New Roman" w:eastAsia="Times New Roman"/>
                <w:color w:val="000000"/>
                <w:sz w:val="24"/>
                <w:szCs w:val="24"/>
              </w:rPr>
            </w:pPr>
            <w:r>
              <w:rPr>
                <w:rFonts w:ascii="Times New Roman" w:hAnsi="Times New Roman"/>
                <w:sz w:val="20"/>
                <w:szCs w:val="20"/>
              </w:rPr>
              <w:t xml:space="preserve">Дата начала срока подачи заявок:</w:t>
            </w:r>
            <w:r>
              <w:rPr>
                <w:rFonts w:ascii="Times New Roman" w:hAnsi="Times New Roman" w:eastAsia="Times New Roman"/>
                <w:color w:val="000000"/>
                <w:sz w:val="20"/>
                <w:szCs w:val="20"/>
                <w:lang w:eastAsia="ru-RU"/>
              </w:rPr>
            </w:r>
            <w:r>
              <w:rPr>
                <w:rFonts w:ascii="Times New Roman" w:hAnsi="Times New Roman" w:eastAsia="Times New Roman"/>
                <w:color w:val="000000"/>
                <w:sz w:val="20"/>
                <w:szCs w:val="20"/>
                <w:lang w:eastAsia="ru-RU"/>
              </w:rPr>
            </w:r>
          </w:p>
          <w:p>
            <w:pPr>
              <w:pStyle w:val="1115"/>
              <w:jc w:val="both"/>
              <w:keepLines/>
              <w:spacing w:before="0" w:after="0"/>
              <w:widowControl w:val="off"/>
              <w:rPr>
                <w:highlight w:val="none"/>
                <w:shd w:val="clear" w:color="auto" w:fill="auto"/>
              </w:rPr>
            </w:pPr>
            <w:r>
              <w:rPr>
                <w:rFonts w:ascii="Times New Roman" w:hAnsi="Times New Roman" w:eastAsia="Times New Roman"/>
                <w:color w:val="000000"/>
                <w:sz w:val="20"/>
                <w:szCs w:val="20"/>
                <w:shd w:val="clear" w:color="auto" w:fill="auto"/>
                <w:lang w:eastAsia="ru-RU"/>
              </w:rPr>
              <w:t xml:space="preserve">«</w:t>
            </w:r>
            <w:r>
              <w:rPr>
                <w:rFonts w:ascii="Times New Roman" w:hAnsi="Times New Roman" w:eastAsia="Times New Roman"/>
                <w:color w:val="000000"/>
                <w:sz w:val="20"/>
                <w:szCs w:val="20"/>
                <w:shd w:val="clear" w:color="auto" w:fill="auto"/>
                <w:lang w:eastAsia="ru-RU"/>
              </w:rPr>
              <w:t xml:space="preserve">16</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октября </w:t>
            </w:r>
            <w:r>
              <w:rPr>
                <w:rFonts w:ascii="Times New Roman" w:hAnsi="Times New Roman" w:eastAsia="Times New Roman"/>
                <w:color w:val="000000"/>
                <w:sz w:val="20"/>
                <w:szCs w:val="20"/>
                <w:shd w:val="clear" w:color="auto" w:fill="auto"/>
                <w:lang w:eastAsia="ru-RU"/>
              </w:rPr>
              <w:t xml:space="preserve">2026г.</w:t>
            </w:r>
            <w:r>
              <w:rPr>
                <w:rFonts w:ascii="Times New Roman" w:hAnsi="Times New Roman"/>
                <w:sz w:val="20"/>
                <w:szCs w:val="20"/>
                <w:shd w:val="clear" w:color="auto" w:fill="auto"/>
              </w:rPr>
              <w:t xml:space="preserve">;</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Дата и время окончания срока, последний день срока подачи Заявок:</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eastAsia="Times New Roman"/>
                <w:color w:val="000000"/>
                <w:sz w:val="20"/>
                <w:szCs w:val="20"/>
                <w:shd w:val="clear" w:color="auto" w:fill="auto"/>
                <w:lang w:eastAsia="ru-RU"/>
              </w:rPr>
              <w:t xml:space="preserve">«</w:t>
            </w:r>
            <w:r>
              <w:rPr>
                <w:rFonts w:ascii="Times New Roman" w:hAnsi="Times New Roman" w:eastAsia="Times New Roman"/>
                <w:color w:val="000000"/>
                <w:sz w:val="20"/>
                <w:szCs w:val="20"/>
                <w:shd w:val="clear" w:color="auto" w:fill="auto"/>
                <w:lang w:eastAsia="ru-RU"/>
              </w:rPr>
              <w:t xml:space="preserve">02</w:t>
            </w:r>
            <w:r>
              <w:rPr>
                <w:rFonts w:ascii="Times New Roman" w:hAnsi="Times New Roman" w:eastAsia="Times New Roman"/>
                <w:color w:val="000000"/>
                <w:sz w:val="20"/>
                <w:szCs w:val="20"/>
                <w:shd w:val="clear" w:color="auto" w:fill="auto"/>
                <w:lang w:eastAsia="ru-RU"/>
              </w:rPr>
              <w:t xml:space="preserve">» ноября </w:t>
            </w:r>
            <w:r>
              <w:rPr>
                <w:rFonts w:ascii="Times New Roman" w:hAnsi="Times New Roman" w:eastAsia="Times New Roman"/>
                <w:color w:val="000000"/>
                <w:sz w:val="20"/>
                <w:szCs w:val="20"/>
                <w:shd w:val="clear" w:color="auto" w:fill="auto"/>
                <w:lang w:eastAsia="ru-RU"/>
              </w:rPr>
              <w:t xml:space="preserve">2026г. 13</w:t>
            </w:r>
            <w:r>
              <w:rPr>
                <w:rFonts w:ascii="Times New Roman" w:hAnsi="Times New Roman"/>
                <w:sz w:val="20"/>
                <w:szCs w:val="20"/>
                <w:shd w:val="clear" w:color="auto" w:fill="auto"/>
              </w:rPr>
              <w:t xml:space="preserve">:00 (время московское)</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rFonts w:ascii="Times New Roman" w:hAnsi="Times New Roman"/>
                <w:sz w:val="24"/>
                <w:szCs w:val="24"/>
                <w:highlight w:val="none"/>
                <w:shd w:val="clear" w:color="auto" w:fill="auto"/>
              </w:rPr>
            </w:pPr>
            <w:r>
              <w:rPr>
                <w:rFonts w:ascii="Times New Roman" w:hAnsi="Times New Roman"/>
                <w:sz w:val="20"/>
                <w:szCs w:val="20"/>
                <w:shd w:val="clear" w:color="auto" w:fill="auto"/>
              </w:rPr>
            </w:r>
            <w:r>
              <w:rPr>
                <w:rFonts w:ascii="Times New Roman" w:hAnsi="Times New Roman"/>
                <w:sz w:val="20"/>
                <w:szCs w:val="20"/>
                <w:highlight w:val="none"/>
                <w:shd w:val="clear" w:color="auto" w:fill="auto"/>
              </w:rPr>
            </w:r>
            <w:r>
              <w:rPr>
                <w:rFonts w:ascii="Times New Roman" w:hAnsi="Times New Roman"/>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Рассмотрение первых частей заявок:</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Дата начала проведения этапа: с момента направления оператором ЭП заказчику первых частей заявок;</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Дата проведения этапа:</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eastAsia="Times New Roman"/>
                <w:color w:val="000000"/>
                <w:sz w:val="20"/>
                <w:szCs w:val="20"/>
                <w:shd w:val="clear" w:color="auto" w:fill="auto"/>
                <w:lang w:eastAsia="ru-RU"/>
              </w:rPr>
              <w:t xml:space="preserve">«</w:t>
            </w:r>
            <w:r>
              <w:rPr>
                <w:rFonts w:ascii="Times New Roman" w:hAnsi="Times New Roman" w:eastAsia="Times New Roman"/>
                <w:color w:val="000000"/>
                <w:sz w:val="20"/>
                <w:szCs w:val="20"/>
                <w:shd w:val="clear" w:color="auto" w:fill="auto"/>
                <w:lang w:eastAsia="ru-RU"/>
              </w:rPr>
              <w:t xml:space="preserve">09</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ноября</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2026г.</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Рассмотрение и оценка вторых частей заявок:</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Дата окончания проведения этапа:</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eastAsia="Times New Roman"/>
                <w:color w:val="000000"/>
                <w:sz w:val="20"/>
                <w:szCs w:val="20"/>
                <w:shd w:val="clear" w:color="auto" w:fill="auto"/>
                <w:lang w:eastAsia="ru-RU"/>
              </w:rPr>
              <w:t xml:space="preserve">«</w:t>
            </w:r>
            <w:r>
              <w:rPr>
                <w:rFonts w:ascii="Times New Roman" w:hAnsi="Times New Roman" w:eastAsia="Times New Roman"/>
                <w:color w:val="000000"/>
                <w:sz w:val="20"/>
                <w:szCs w:val="20"/>
                <w:shd w:val="clear" w:color="auto" w:fill="auto"/>
                <w:lang w:eastAsia="ru-RU"/>
              </w:rPr>
              <w:t xml:space="preserve">13</w:t>
            </w:r>
            <w:r>
              <w:rPr>
                <w:rFonts w:ascii="Times New Roman" w:hAnsi="Times New Roman" w:eastAsia="Times New Roman"/>
                <w:color w:val="000000"/>
                <w:sz w:val="20"/>
                <w:szCs w:val="20"/>
                <w:shd w:val="clear" w:color="auto" w:fill="auto"/>
                <w:lang w:eastAsia="ru-RU"/>
              </w:rPr>
              <w:t xml:space="preserve">» ноября</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2026г.</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rFonts w:ascii="Times New Roman" w:hAnsi="Times New Roman"/>
                <w:sz w:val="24"/>
                <w:szCs w:val="24"/>
                <w:highlight w:val="none"/>
                <w:shd w:val="clear" w:color="auto" w:fill="auto"/>
              </w:rPr>
            </w:pPr>
            <w:r>
              <w:rPr>
                <w:rFonts w:ascii="Times New Roman" w:hAnsi="Times New Roman"/>
                <w:sz w:val="20"/>
                <w:szCs w:val="20"/>
                <w:shd w:val="clear" w:color="auto" w:fill="auto"/>
              </w:rPr>
            </w:r>
            <w:r>
              <w:rPr>
                <w:rFonts w:ascii="Times New Roman" w:hAnsi="Times New Roman"/>
                <w:sz w:val="20"/>
                <w:szCs w:val="20"/>
                <w:highlight w:val="none"/>
                <w:shd w:val="clear" w:color="auto" w:fill="auto"/>
              </w:rPr>
            </w:r>
            <w:r>
              <w:rPr>
                <w:rFonts w:ascii="Times New Roman" w:hAnsi="Times New Roman"/>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Сопоставление дополнительных ценовых предложений участников закупки о снижении цены договора:</w:t>
            </w:r>
            <w:r>
              <w:rPr>
                <w:sz w:val="20"/>
                <w:szCs w:val="20"/>
                <w:highlight w:val="none"/>
                <w:shd w:val="clear" w:color="auto" w:fill="auto"/>
              </w:rPr>
            </w:r>
            <w:r>
              <w:rPr>
                <w:sz w:val="20"/>
                <w:szCs w:val="20"/>
                <w:highlight w:val="none"/>
                <w:shd w:val="clear" w:color="auto" w:fill="auto"/>
              </w:rPr>
            </w:r>
          </w:p>
          <w:p>
            <w:pPr>
              <w:pStyle w:val="1115"/>
              <w:jc w:val="both"/>
              <w:keepLines/>
              <w:spacing w:before="0" w:after="0"/>
              <w:widowControl w:val="off"/>
              <w:rPr>
                <w:highlight w:val="none"/>
                <w:shd w:val="clear" w:color="auto" w:fill="auto"/>
              </w:rPr>
            </w:pPr>
            <w:r>
              <w:rPr>
                <w:rFonts w:ascii="Times New Roman" w:hAnsi="Times New Roman"/>
                <w:sz w:val="20"/>
                <w:szCs w:val="20"/>
                <w:shd w:val="clear" w:color="auto" w:fill="auto"/>
              </w:rPr>
              <w:t xml:space="preserve">Дата начала проведения этапа:</w:t>
            </w:r>
            <w:r>
              <w:rPr>
                <w:sz w:val="20"/>
                <w:szCs w:val="20"/>
                <w:highlight w:val="none"/>
                <w:shd w:val="clear" w:color="auto" w:fill="auto"/>
              </w:rPr>
            </w:r>
            <w:r>
              <w:rPr>
                <w:sz w:val="20"/>
                <w:szCs w:val="20"/>
                <w:highlight w:val="none"/>
                <w:shd w:val="clear" w:color="auto" w:fill="auto"/>
              </w:rPr>
            </w:r>
          </w:p>
          <w:p>
            <w:pPr>
              <w:spacing w:after="0"/>
              <w:widowControl w:val="off"/>
              <w:rPr>
                <w:rFonts w:ascii="Times New Roman" w:hAnsi="Times New Roman" w:eastAsia="Times New Roman"/>
                <w:color w:val="000000"/>
                <w:sz w:val="20"/>
                <w:szCs w:val="20"/>
                <w:highlight w:val="none"/>
                <w:lang w:eastAsia="ru-RU"/>
              </w:rPr>
            </w:pPr>
            <w:r>
              <w:rPr>
                <w:rFonts w:ascii="Times New Roman" w:hAnsi="Times New Roman" w:eastAsia="Times New Roman"/>
                <w:color w:val="000000"/>
                <w:sz w:val="20"/>
                <w:szCs w:val="20"/>
                <w:shd w:val="clear" w:color="auto" w:fill="auto"/>
                <w:lang w:eastAsia="ru-RU"/>
              </w:rPr>
              <w:t xml:space="preserve">«</w:t>
            </w:r>
            <w:r>
              <w:rPr>
                <w:rFonts w:ascii="Times New Roman" w:hAnsi="Times New Roman" w:eastAsia="Times New Roman"/>
                <w:color w:val="000000"/>
                <w:sz w:val="20"/>
                <w:szCs w:val="20"/>
                <w:shd w:val="clear" w:color="auto" w:fill="auto"/>
                <w:lang w:eastAsia="ru-RU"/>
              </w:rPr>
              <w:t xml:space="preserve">17</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ноября</w:t>
            </w:r>
            <w:r>
              <w:rPr>
                <w:rFonts w:ascii="Times New Roman" w:hAnsi="Times New Roman" w:eastAsia="Times New Roman"/>
                <w:color w:val="000000"/>
                <w:sz w:val="20"/>
                <w:szCs w:val="20"/>
                <w:shd w:val="clear" w:color="auto" w:fill="auto"/>
                <w:lang w:eastAsia="ru-RU"/>
              </w:rPr>
              <w:t xml:space="preserve"> </w:t>
            </w:r>
            <w:r>
              <w:rPr>
                <w:rFonts w:ascii="Times New Roman" w:hAnsi="Times New Roman" w:eastAsia="Times New Roman"/>
                <w:color w:val="000000"/>
                <w:sz w:val="20"/>
                <w:szCs w:val="20"/>
                <w:shd w:val="clear" w:color="auto" w:fill="auto"/>
                <w:lang w:eastAsia="ru-RU"/>
              </w:rPr>
              <w:t xml:space="preserve">2026г.</w:t>
            </w:r>
            <w:r>
              <w:rPr>
                <w:sz w:val="20"/>
                <w:szCs w:val="20"/>
                <w:highlight w:val="none"/>
                <w:shd w:val="clear" w:color="auto" w:fill="auto"/>
              </w:rPr>
            </w:r>
            <w:r>
              <w:rPr>
                <w:rFonts w:ascii="Times New Roman" w:hAnsi="Times New Roman" w:eastAsia="Times New Roman"/>
                <w:color w:val="000000"/>
                <w:sz w:val="20"/>
                <w:szCs w:val="20"/>
                <w:highlight w:val="none"/>
                <w:lang w:eastAsia="ru-RU"/>
              </w:rPr>
            </w:r>
            <w:r>
              <w:rPr>
                <w:sz w:val="20"/>
                <w:szCs w:val="20"/>
              </w:rPr>
            </w:r>
            <w:r>
              <w:rPr>
                <w:sz w:val="20"/>
                <w:szCs w:val="20"/>
              </w:rPr>
            </w:r>
            <w:r>
              <w:rPr>
                <w:sz w:val="20"/>
                <w:szCs w:val="20"/>
              </w:rPr>
            </w:r>
          </w:p>
          <w:p>
            <w:pPr>
              <w:spacing w:after="0"/>
              <w:widowControl w:val="off"/>
              <w:rPr>
                <w:sz w:val="20"/>
                <w:szCs w:val="20"/>
              </w:rPr>
            </w:pPr>
            <w:r>
              <w:rPr>
                <w:rFonts w:ascii="Times New Roman" w:hAnsi="Times New Roman" w:eastAsia="Times New Roman"/>
                <w:color w:val="000000"/>
                <w:sz w:val="20"/>
                <w:szCs w:val="20"/>
                <w:highlight w:val="none"/>
                <w:shd w:val="clear" w:color="auto" w:fill="auto"/>
                <w:lang w:eastAsia="ru-RU"/>
              </w:rPr>
            </w:r>
            <w:r>
              <w:rPr>
                <w:rFonts w:ascii="Times New Roman" w:hAnsi="Times New Roman" w:eastAsia="Times New Roman"/>
                <w:color w:val="000000"/>
                <w:sz w:val="20"/>
                <w:szCs w:val="20"/>
                <w:highlight w:val="none"/>
                <w:shd w:val="clear" w:color="auto" w:fill="auto"/>
                <w:lang w:eastAsia="ru-RU"/>
              </w:rPr>
            </w:r>
          </w:p>
          <w:p>
            <w:pPr>
              <w:spacing w:after="0"/>
              <w:widowControl w:val="off"/>
              <w:rPr>
                <w:sz w:val="20"/>
                <w:szCs w:val="20"/>
              </w:rPr>
            </w:pPr>
            <w:r>
              <w:rPr>
                <w:sz w:val="20"/>
                <w:szCs w:val="20"/>
              </w:rPr>
              <w:t xml:space="preserve">Информация о времени начала и окончания подачи дополнительных ценовых предложений размещается оператором ЕЭТП в единой информационной системе.</w:t>
            </w:r>
            <w:r>
              <w:rPr>
                <w:sz w:val="20"/>
                <w:szCs w:val="20"/>
              </w:rPr>
            </w:r>
          </w:p>
          <w:p>
            <w:pPr>
              <w:spacing w:after="0"/>
              <w:widowControl w:val="off"/>
              <w:rPr>
                <w:sz w:val="20"/>
                <w:szCs w:val="20"/>
              </w:rPr>
            </w:pPr>
            <w:r>
              <w:rPr>
                <w:sz w:val="20"/>
                <w:szCs w:val="20"/>
              </w:rPr>
            </w:r>
            <w:r>
              <w:rPr>
                <w:sz w:val="20"/>
                <w:szCs w:val="20"/>
              </w:rPr>
            </w:r>
          </w:p>
          <w:p>
            <w:pPr>
              <w:spacing w:after="0"/>
              <w:widowControl w:val="off"/>
              <w:rPr>
                <w:sz w:val="20"/>
                <w:szCs w:val="20"/>
              </w:rPr>
            </w:pPr>
            <w:r>
              <w:rPr>
                <w:sz w:val="20"/>
                <w:szCs w:val="20"/>
              </w:rPr>
              <w:t xml:space="preserve">Продолжительность приема дополнительных ценовых предложений от участников закупки составляет три часа.</w:t>
            </w:r>
            <w:r>
              <w:rPr>
                <w:sz w:val="20"/>
                <w:szCs w:val="20"/>
              </w:rPr>
            </w:r>
          </w:p>
          <w:p>
            <w:pPr>
              <w:spacing w:after="0"/>
              <w:widowControl w:val="off"/>
              <w:rPr>
                <w:sz w:val="20"/>
                <w:szCs w:val="20"/>
              </w:rPr>
            </w:pPr>
            <w:r>
              <w:rPr>
                <w:sz w:val="20"/>
                <w:szCs w:val="20"/>
              </w:rPr>
            </w:r>
            <w:r>
              <w:rPr>
                <w:sz w:val="20"/>
                <w:szCs w:val="20"/>
              </w:rPr>
            </w:r>
          </w:p>
          <w:p>
            <w:pPr>
              <w:spacing w:after="0"/>
              <w:widowControl w:val="off"/>
              <w:rPr>
                <w:sz w:val="20"/>
                <w:szCs w:val="20"/>
              </w:rPr>
            </w:pPr>
            <w:r>
              <w:rPr>
                <w:sz w:val="20"/>
                <w:szCs w:val="20"/>
                <w:u w:val="single"/>
              </w:rPr>
              <w:t xml:space="preserve">Подведение итогов закупки</w:t>
            </w:r>
            <w:r>
              <w:rPr>
                <w:sz w:val="20"/>
                <w:szCs w:val="20"/>
              </w:rPr>
              <w:t xml:space="preserve">:</w:t>
            </w:r>
            <w:r>
              <w:rPr>
                <w:sz w:val="20"/>
                <w:szCs w:val="20"/>
              </w:rPr>
            </w:r>
          </w:p>
          <w:p>
            <w:pPr>
              <w:spacing w:after="0"/>
              <w:widowControl w:val="off"/>
              <w:rPr>
                <w:sz w:val="20"/>
                <w:szCs w:val="20"/>
              </w:rPr>
            </w:pPr>
            <w:r>
              <w:rPr>
                <w:sz w:val="20"/>
                <w:szCs w:val="20"/>
              </w:rPr>
              <w:t xml:space="preserve">В течение одного рабочего дня после направления оператором электронной площадки протокола подачи дополнительных ценовых предложений.</w:t>
            </w:r>
            <w:r>
              <w:rPr>
                <w:sz w:val="20"/>
                <w:szCs w:val="20"/>
              </w:rPr>
            </w:r>
          </w:p>
          <w:p>
            <w:pPr>
              <w:spacing w:after="0"/>
              <w:widowControl w:val="off"/>
              <w:rPr>
                <w:sz w:val="20"/>
                <w:szCs w:val="20"/>
              </w:rPr>
            </w:pPr>
            <w:r>
              <w:rPr>
                <w:sz w:val="20"/>
                <w:szCs w:val="20"/>
              </w:rPr>
            </w:r>
            <w:r>
              <w:rPr>
                <w:sz w:val="20"/>
                <w:szCs w:val="20"/>
              </w:rPr>
            </w:r>
          </w:p>
          <w:p>
            <w:pPr>
              <w:spacing w:after="0"/>
              <w:rPr>
                <w:sz w:val="20"/>
                <w:szCs w:val="20"/>
              </w:rPr>
            </w:pPr>
            <w:r>
              <w:rPr>
                <w:sz w:val="20"/>
                <w:szCs w:val="20"/>
              </w:rPr>
              <w:t xml:space="preserve">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ЕЭТП.</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1.4</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Требования к участникам закупки</w:t>
            </w:r>
            <w:r>
              <w:rPr>
                <w:sz w:val="18"/>
                <w:szCs w:val="18"/>
              </w:rPr>
            </w:r>
          </w:p>
          <w:p>
            <w:pPr>
              <w:keepLines/>
              <w:spacing w:after="0"/>
              <w:widowControl w:val="off"/>
              <w:rPr>
                <w:sz w:val="18"/>
                <w:szCs w:val="18"/>
              </w:rPr>
            </w:pPr>
            <w:r>
              <w:rPr>
                <w:sz w:val="18"/>
                <w:szCs w:val="18"/>
              </w:rPr>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120"/>
              <w:widowControl w:val="off"/>
              <w:tabs>
                <w:tab w:val="left" w:pos="851" w:leader="none"/>
                <w:tab w:val="left" w:pos="1134" w:leader="none"/>
              </w:tabs>
              <w:rPr>
                <w:b/>
                <w:sz w:val="20"/>
                <w:szCs w:val="20"/>
              </w:rPr>
            </w:pPr>
            <w:r>
              <w:rPr>
                <w:sz w:val="20"/>
                <w:szCs w:val="20"/>
              </w:rPr>
              <w:t xml:space="preserve">Участником конкурса может быть любое юридическое лицо, а также индивидуальный предприниматель являющиеся </w:t>
            </w:r>
            <w:r>
              <w:rPr>
                <w:b/>
                <w:sz w:val="20"/>
                <w:szCs w:val="20"/>
              </w:rPr>
              <w:t xml:space="preserve">субъектами малого или среднего предпринимательства, </w:t>
            </w:r>
            <w:r>
              <w:rPr>
                <w:sz w:val="20"/>
                <w:szCs w:val="20"/>
              </w:rPr>
              <w:t xml:space="preserve">за исключением юридического лица (физического лица) являющегося иностранным агентом в соответствии с </w:t>
            </w:r>
            <w:hyperlink r:id="rId43" w:tooltip="https://internet.garant.ru/#/document/404991865/entry/1&quot; l &quot;/document/404991865/entry/1" w:history="1">
              <w:r>
                <w:rPr>
                  <w:sz w:val="20"/>
                  <w:szCs w:val="20"/>
                </w:rPr>
                <w:t xml:space="preserve">Федеральным законом</w:t>
              </w:r>
            </w:hyperlink>
            <w:r>
              <w:rPr>
                <w:sz w:val="20"/>
                <w:szCs w:val="20"/>
              </w:rPr>
              <w:t xml:space="preserve"> от 14.07.2022 года N 255-ФЗ "О </w:t>
            </w:r>
            <w:r>
              <w:rPr>
                <w:sz w:val="20"/>
                <w:szCs w:val="20"/>
              </w:rPr>
              <w:t xml:space="preserve">контроле за</w:t>
            </w:r>
            <w:r>
              <w:rPr>
                <w:sz w:val="20"/>
                <w:szCs w:val="20"/>
              </w:rPr>
              <w:t xml:space="preserve"> деятельностью лиц, находящихся под иностранным влиянием".</w:t>
            </w:r>
            <w:r>
              <w:rPr>
                <w:b/>
                <w:sz w:val="20"/>
                <w:szCs w:val="20"/>
              </w:rPr>
            </w:r>
          </w:p>
          <w:p>
            <w:pPr>
              <w:spacing w:after="120"/>
              <w:widowControl w:val="off"/>
              <w:rPr>
                <w:sz w:val="20"/>
                <w:szCs w:val="20"/>
              </w:rPr>
            </w:pPr>
            <w:r>
              <w:rPr>
                <w:sz w:val="20"/>
                <w:szCs w:val="20"/>
              </w:rPr>
              <w:t xml:space="preserve">Чтобы претендовать на победу в закупке и получить право заключить договор, участник закупки должен отвечать следующим </w:t>
            </w:r>
            <w:r>
              <w:rPr>
                <w:b/>
                <w:sz w:val="20"/>
                <w:szCs w:val="20"/>
              </w:rPr>
              <w:t xml:space="preserve">требованиям</w:t>
            </w:r>
            <w:r>
              <w:rPr>
                <w:sz w:val="20"/>
                <w:szCs w:val="20"/>
              </w:rPr>
              <w:t xml:space="preserve">:</w:t>
            </w:r>
            <w:r>
              <w:rPr>
                <w:sz w:val="20"/>
                <w:szCs w:val="20"/>
              </w:rPr>
            </w:r>
          </w:p>
          <w:p>
            <w:pPr>
              <w:pStyle w:val="1352"/>
              <w:numPr>
                <w:ilvl w:val="3"/>
                <w:numId w:val="23"/>
              </w:numPr>
              <w:ind w:left="24" w:firstLine="15"/>
              <w:jc w:val="both"/>
              <w:spacing w:after="120"/>
              <w:widowControl w:val="off"/>
              <w:tabs>
                <w:tab w:val="left" w:pos="459" w:leader="none"/>
              </w:tabs>
              <w:rPr>
                <w:sz w:val="20"/>
                <w:szCs w:val="20"/>
              </w:rPr>
            </w:pPr>
            <w:r>
              <w:rPr>
                <w:bCs/>
                <w:color w:val="000000"/>
                <w:sz w:val="20"/>
                <w:szCs w:val="20"/>
              </w:rPr>
              <w:t xml:space="preserve">соответствие критериям субъектов малого и среднего предпринимательства в соответствии </w:t>
            </w:r>
            <w:r>
              <w:rPr>
                <w:sz w:val="20"/>
                <w:szCs w:val="20"/>
              </w:rPr>
              <w:t xml:space="preserve">Федеральным законом от 24 июля 2007 г. № 209-ФЗ №О развитии малого и среднего предпринимательства в Российской Федерации»);</w:t>
            </w:r>
            <w:r>
              <w:rPr>
                <w:sz w:val="20"/>
                <w:szCs w:val="20"/>
              </w:rPr>
            </w:r>
          </w:p>
          <w:p>
            <w:pPr>
              <w:pStyle w:val="1352"/>
              <w:numPr>
                <w:ilvl w:val="3"/>
                <w:numId w:val="23"/>
              </w:numPr>
              <w:ind w:left="24" w:firstLine="15"/>
              <w:jc w:val="both"/>
              <w:spacing w:after="120"/>
              <w:widowControl w:val="off"/>
              <w:tabs>
                <w:tab w:val="left" w:pos="459" w:leader="none"/>
              </w:tabs>
              <w:rPr>
                <w:sz w:val="20"/>
                <w:szCs w:val="20"/>
              </w:rPr>
            </w:pPr>
            <w:r>
              <w:rPr>
                <w:bCs/>
                <w:color w:val="000000"/>
                <w:sz w:val="20"/>
                <w:szCs w:val="20"/>
              </w:rPr>
              <w:t xml:space="preserve">соответствие требованиям, установленным п. 9 ч. 19.1 ст. 3.4 Закона 223-ФЗ, а именно:</w:t>
            </w:r>
            <w:r>
              <w:rPr>
                <w:sz w:val="20"/>
                <w:szCs w:val="20"/>
              </w:rPr>
            </w:r>
          </w:p>
          <w:p>
            <w:pPr>
              <w:pStyle w:val="1352"/>
              <w:numPr>
                <w:ilvl w:val="0"/>
                <w:numId w:val="40"/>
              </w:numPr>
              <w:ind w:left="279" w:hanging="279"/>
              <w:jc w:val="both"/>
              <w:spacing w:after="120"/>
              <w:widowControl w:val="off"/>
              <w:tabs>
                <w:tab w:val="left" w:pos="459" w:leader="none"/>
              </w:tabs>
              <w:rPr>
                <w:bCs/>
                <w:color w:val="000000"/>
                <w:sz w:val="20"/>
                <w:szCs w:val="20"/>
              </w:rPr>
            </w:pPr>
            <w:r>
              <w:rPr>
                <w:bCs/>
                <w:color w:val="000000"/>
                <w:sz w:val="20"/>
                <w:szCs w:val="20"/>
              </w:rPr>
              <w:t xml:space="preserve">непроведение</w:t>
            </w:r>
            <w:r>
              <w:rPr>
                <w:bCs/>
                <w:color w:val="000000"/>
                <w:sz w:val="20"/>
                <w:szCs w:val="20"/>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r>
              <w:rPr>
                <w:bCs/>
                <w:color w:val="000000"/>
                <w:sz w:val="20"/>
                <w:szCs w:val="20"/>
              </w:rPr>
            </w:r>
          </w:p>
          <w:p>
            <w:pPr>
              <w:pStyle w:val="1352"/>
              <w:numPr>
                <w:ilvl w:val="0"/>
                <w:numId w:val="40"/>
              </w:numPr>
              <w:ind w:left="279" w:hanging="279"/>
              <w:jc w:val="both"/>
              <w:spacing w:after="120"/>
              <w:widowControl w:val="off"/>
              <w:tabs>
                <w:tab w:val="left" w:pos="459" w:leader="none"/>
              </w:tabs>
              <w:rPr>
                <w:bCs/>
                <w:color w:val="000000"/>
                <w:sz w:val="20"/>
                <w:szCs w:val="20"/>
              </w:rPr>
            </w:pPr>
            <w:r>
              <w:rPr>
                <w:bCs/>
                <w:color w:val="000000"/>
                <w:sz w:val="20"/>
                <w:szCs w:val="20"/>
              </w:rPr>
              <w:t xml:space="preserve">неприостановление</w:t>
            </w:r>
            <w:r>
              <w:rPr>
                <w:bCs/>
                <w:color w:val="000000"/>
                <w:sz w:val="20"/>
                <w:szCs w:val="20"/>
              </w:rPr>
              <w:t xml:space="preserve"> деятельности участника закупки в порядке, установленном Кодексом Российской Федерации об административных правонарушениях;</w:t>
            </w:r>
            <w:r>
              <w:rPr>
                <w:bCs/>
                <w:color w:val="000000"/>
                <w:sz w:val="20"/>
                <w:szCs w:val="20"/>
              </w:rPr>
            </w:r>
          </w:p>
          <w:p>
            <w:pPr>
              <w:pStyle w:val="1352"/>
              <w:numPr>
                <w:ilvl w:val="0"/>
                <w:numId w:val="40"/>
              </w:numPr>
              <w:ind w:left="279" w:hanging="279"/>
              <w:jc w:val="both"/>
              <w:spacing w:after="120"/>
              <w:widowControl w:val="off"/>
              <w:tabs>
                <w:tab w:val="left" w:pos="459" w:leader="none"/>
              </w:tabs>
              <w:rPr>
                <w:bCs/>
                <w:color w:val="000000"/>
                <w:sz w:val="20"/>
                <w:szCs w:val="20"/>
              </w:rPr>
            </w:pPr>
            <w:r>
              <w:rPr>
                <w:bCs/>
                <w:color w:val="000000"/>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w:t>
            </w:r>
            <w:r>
              <w:rPr>
                <w:bCs/>
                <w:color w:val="000000"/>
                <w:sz w:val="20"/>
                <w:szCs w:val="20"/>
              </w:rPr>
              <w:t xml:space="preserve">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bCs/>
                <w:color w:val="000000"/>
                <w:sz w:val="20"/>
                <w:szCs w:val="20"/>
              </w:rPr>
              <w:t xml:space="preserve"> </w:t>
            </w:r>
            <w:r>
              <w:rPr>
                <w:bCs/>
                <w:color w:val="000000"/>
                <w:sz w:val="20"/>
                <w:szCs w:val="20"/>
              </w:rPr>
              <w:t xml:space="preserve">заявителя по уплате этих сумм исполненной или которые признаны безнадежными к взысканию в соответствии с законодательс</w:t>
            </w:r>
            <w:r>
              <w:rPr>
                <w:bCs/>
                <w:color w:val="000000"/>
                <w:sz w:val="20"/>
                <w:szCs w:val="20"/>
              </w:rPr>
              <w:t xml:space="preserve">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r>
              <w:rPr>
                <w:bCs/>
                <w:color w:val="000000"/>
                <w:sz w:val="20"/>
                <w:szCs w:val="20"/>
              </w:rPr>
              <w:t xml:space="preserve"> Участник закупки считается соответствующим установленному требованию в случае, если </w:t>
            </w:r>
            <w:r>
              <w:rPr>
                <w:bCs/>
                <w:color w:val="000000"/>
                <w:sz w:val="20"/>
                <w:szCs w:val="20"/>
              </w:rPr>
              <w:t xml:space="preserve">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Pr>
                <w:bCs/>
                <w:color w:val="000000"/>
                <w:sz w:val="20"/>
                <w:szCs w:val="20"/>
              </w:rPr>
            </w:r>
          </w:p>
          <w:p>
            <w:pPr>
              <w:pStyle w:val="1352"/>
              <w:numPr>
                <w:ilvl w:val="0"/>
                <w:numId w:val="40"/>
              </w:numPr>
              <w:ind w:left="279" w:hanging="279"/>
              <w:jc w:val="both"/>
              <w:spacing w:after="120"/>
              <w:widowControl w:val="off"/>
              <w:tabs>
                <w:tab w:val="left" w:pos="459" w:leader="none"/>
              </w:tabs>
              <w:rPr>
                <w:bCs/>
                <w:color w:val="000000"/>
                <w:sz w:val="20"/>
                <w:szCs w:val="20"/>
              </w:rPr>
            </w:pPr>
            <w:r>
              <w:rPr>
                <w:bCs/>
                <w:color w:val="000000"/>
                <w:sz w:val="20"/>
                <w:szCs w:val="20"/>
              </w:rPr>
              <w:t xml:space="preserve">отсутствие у участника закупки - физического лица, зарегистрированного в качестве индивидуального </w:t>
            </w:r>
            <w:r>
              <w:rPr>
                <w:bCs/>
                <w:color w:val="000000"/>
                <w:sz w:val="20"/>
                <w:szCs w:val="20"/>
              </w:rPr>
              <w:t xml:space="preserve">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w:t>
            </w:r>
            <w:r>
              <w:rPr>
                <w:bCs/>
                <w:color w:val="000000"/>
                <w:sz w:val="20"/>
                <w:szCs w:val="20"/>
              </w:rPr>
              <w:t xml:space="preserve">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r>
              <w:rPr>
                <w:bCs/>
                <w:color w:val="000000"/>
                <w:sz w:val="20"/>
                <w:szCs w:val="20"/>
              </w:rPr>
              <w:t xml:space="preserve"> лиц наказания в виде лишен</w:t>
            </w:r>
            <w:r>
              <w:rPr>
                <w:bCs/>
                <w:color w:val="000000"/>
                <w:sz w:val="20"/>
                <w:szCs w:val="20"/>
              </w:rPr>
              <w:t xml:space="preserve">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Pr>
                <w:bCs/>
                <w:color w:val="000000"/>
                <w:sz w:val="20"/>
                <w:szCs w:val="20"/>
              </w:rPr>
            </w:r>
          </w:p>
          <w:p>
            <w:pPr>
              <w:pStyle w:val="1352"/>
              <w:numPr>
                <w:ilvl w:val="0"/>
                <w:numId w:val="40"/>
              </w:numPr>
              <w:ind w:left="279" w:hanging="279"/>
              <w:jc w:val="both"/>
              <w:spacing w:after="120"/>
              <w:widowControl w:val="off"/>
              <w:tabs>
                <w:tab w:val="left" w:pos="459" w:leader="none"/>
              </w:tabs>
              <w:rPr>
                <w:bCs/>
                <w:color w:val="000000"/>
                <w:sz w:val="20"/>
                <w:szCs w:val="20"/>
              </w:rPr>
            </w:pPr>
            <w:r/>
            <w:bookmarkStart w:id="737" w:name="_Ref303614975"/>
            <w:r/>
            <w:bookmarkStart w:id="738" w:name="_Ref303599765"/>
            <w:r>
              <w:rPr>
                <w:bCs/>
                <w:color w:val="000000"/>
                <w:sz w:val="20"/>
                <w:szCs w:val="20"/>
              </w:rPr>
              <w:t xml:space="preserve">отсутствие фактов привлечения в течение двух ле</w:t>
            </w:r>
            <w:r>
              <w:rPr>
                <w:bCs/>
                <w:color w:val="000000"/>
                <w:sz w:val="20"/>
                <w:szCs w:val="20"/>
              </w:rPr>
              <w:t xml:space="preserve">т до момента подачи заявки на участие в закупке участника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End w:id="737"/>
            <w:r/>
            <w:bookmarkEnd w:id="738"/>
            <w:r/>
            <w:r>
              <w:rPr>
                <w:bCs/>
                <w:color w:val="000000"/>
                <w:sz w:val="20"/>
                <w:szCs w:val="20"/>
              </w:rPr>
            </w:r>
          </w:p>
          <w:p>
            <w:pPr>
              <w:spacing w:after="120"/>
              <w:widowControl w:val="off"/>
              <w:tabs>
                <w:tab w:val="left" w:pos="3061" w:leader="none"/>
              </w:tabs>
              <w:rPr>
                <w:sz w:val="20"/>
                <w:szCs w:val="20"/>
              </w:rPr>
            </w:pPr>
            <w:r>
              <w:rPr>
                <w:bCs/>
                <w:color w:val="000000"/>
                <w:sz w:val="20"/>
                <w:szCs w:val="20"/>
              </w:rPr>
              <w:t xml:space="preserve">3. предоставить в составе заявки информацию и документы, установленные в п. 10 «ИНФОРМАЦИОННОЙ КАРТЫ ЗАКУПКИ»</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3.1, 3.2, 3.3, 3.4, 3.5, 3.6, 6.4</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Информация и документы, входящие в состав заявки на участие в закупке для подтверждения соответствия требованиям, установленным в пункте 9 части </w:t>
            </w:r>
            <w:r>
              <w:rPr>
                <w:sz w:val="18"/>
                <w:szCs w:val="18"/>
                <w:lang w:val="en-US"/>
              </w:rPr>
              <w:t xml:space="preserve">II</w:t>
            </w:r>
            <w:r>
              <w:rPr>
                <w:sz w:val="18"/>
                <w:szCs w:val="18"/>
              </w:rPr>
              <w:t xml:space="preserve"> «ИНФОРМАЦИОННАЯ КАРТА ЗАКУПКИ»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243"/>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В целях подтверждения соответствия установленным требованиям, участник закупки должен включить </w:t>
            </w:r>
            <w:r>
              <w:rPr>
                <w:rFonts w:ascii="Times New Roman" w:hAnsi="Times New Roman" w:cs="Times New Roman"/>
                <w:color w:val="auto"/>
                <w:sz w:val="20"/>
                <w:szCs w:val="20"/>
              </w:rPr>
              <w:t xml:space="preserve">в состав первой части заявки,</w:t>
            </w:r>
            <w:r>
              <w:rPr>
                <w:rFonts w:ascii="Times New Roman" w:hAnsi="Times New Roman" w:cs="Times New Roman"/>
                <w:b w:val="0"/>
                <w:color w:val="auto"/>
                <w:sz w:val="20"/>
                <w:szCs w:val="20"/>
              </w:rPr>
              <w:t xml:space="preserve"> следующие информацию и документы:</w:t>
            </w:r>
            <w:r>
              <w:rPr>
                <w:rFonts w:ascii="Times New Roman" w:hAnsi="Times New Roman" w:cs="Times New Roman"/>
                <w:b w:val="0"/>
                <w:color w:val="auto"/>
                <w:sz w:val="20"/>
                <w:szCs w:val="20"/>
              </w:rPr>
            </w:r>
          </w:p>
          <w:p>
            <w:pPr>
              <w:pStyle w:val="1352"/>
              <w:numPr>
                <w:ilvl w:val="3"/>
                <w:numId w:val="24"/>
              </w:numPr>
              <w:ind w:left="322" w:hanging="322"/>
              <w:jc w:val="both"/>
              <w:spacing w:after="120"/>
              <w:widowControl w:val="off"/>
              <w:tabs>
                <w:tab w:val="left" w:pos="279" w:leader="none"/>
              </w:tabs>
              <w:rPr>
                <w:sz w:val="20"/>
                <w:szCs w:val="20"/>
              </w:rPr>
            </w:pPr>
            <w:r>
              <w:rPr>
                <w:sz w:val="20"/>
                <w:szCs w:val="20"/>
              </w:rPr>
              <w:t xml:space="preserve">Предложение участника в отношении предмета закупки, в том числе:</w:t>
            </w:r>
            <w:r>
              <w:rPr>
                <w:sz w:val="20"/>
                <w:szCs w:val="20"/>
              </w:rPr>
            </w:r>
          </w:p>
          <w:p>
            <w:pPr>
              <w:pStyle w:val="1352"/>
              <w:numPr>
                <w:ilvl w:val="1"/>
                <w:numId w:val="26"/>
              </w:numPr>
              <w:ind w:left="464" w:hanging="464"/>
              <w:jc w:val="both"/>
              <w:spacing w:after="120"/>
              <w:widowControl w:val="off"/>
              <w:tabs>
                <w:tab w:val="left" w:pos="449" w:leader="none"/>
              </w:tabs>
              <w:rPr>
                <w:sz w:val="20"/>
                <w:szCs w:val="20"/>
              </w:rPr>
            </w:pPr>
            <w:r>
              <w:rPr>
                <w:sz w:val="20"/>
                <w:szCs w:val="20"/>
              </w:rPr>
              <w:t xml:space="preserve">Предложение участника закупки в от</w:t>
            </w:r>
            <w:r>
              <w:rPr>
                <w:sz w:val="20"/>
                <w:szCs w:val="20"/>
              </w:rPr>
              <w:t xml:space="preserve">ношении предмета закупки, по форме и в соответствии с инструкциями, приведенными в настоящей документации о закупке (часть III «ОБРАЗЦЫ ФОРМ ДЛЯ ЗАПОЛНЕНИЯ УЧАСТНИКАМИ ЗАКУПКИ», форма 1) с приложением файла Предложения участника, выполненного в формате MS </w:t>
            </w:r>
            <w:r>
              <w:rPr>
                <w:sz w:val="20"/>
                <w:szCs w:val="20"/>
              </w:rPr>
              <w:t xml:space="preserve">Word</w:t>
            </w:r>
            <w:r>
              <w:rPr>
                <w:sz w:val="20"/>
                <w:szCs w:val="20"/>
              </w:rPr>
              <w:t xml:space="preserve">.</w:t>
            </w:r>
            <w:r>
              <w:rPr>
                <w:sz w:val="20"/>
                <w:szCs w:val="20"/>
              </w:rPr>
            </w:r>
          </w:p>
          <w:p>
            <w:pPr>
              <w:pStyle w:val="1243"/>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В целях подтверждения соответствия установленным требованиям, участник закупки должен включить </w:t>
            </w:r>
            <w:r>
              <w:rPr>
                <w:rFonts w:ascii="Times New Roman" w:hAnsi="Times New Roman" w:cs="Times New Roman"/>
                <w:color w:val="auto"/>
                <w:sz w:val="20"/>
                <w:szCs w:val="20"/>
              </w:rPr>
              <w:t xml:space="preserve">в состав второй части заявки,</w:t>
            </w:r>
            <w:r>
              <w:rPr>
                <w:rFonts w:ascii="Times New Roman" w:hAnsi="Times New Roman" w:cs="Times New Roman"/>
                <w:b w:val="0"/>
                <w:color w:val="auto"/>
                <w:sz w:val="20"/>
                <w:szCs w:val="20"/>
              </w:rPr>
              <w:t xml:space="preserve"> следующие информацию и документы:</w:t>
            </w:r>
            <w:r>
              <w:rPr>
                <w:rFonts w:ascii="Times New Roman" w:hAnsi="Times New Roman" w:cs="Times New Roman"/>
                <w:b w:val="0"/>
                <w:color w:val="auto"/>
                <w:sz w:val="20"/>
                <w:szCs w:val="20"/>
              </w:rPr>
            </w:r>
          </w:p>
          <w:p>
            <w:pPr>
              <w:pStyle w:val="1352"/>
              <w:numPr>
                <w:ilvl w:val="3"/>
                <w:numId w:val="24"/>
              </w:numPr>
              <w:ind w:left="322" w:hanging="322"/>
              <w:jc w:val="both"/>
              <w:spacing w:after="120"/>
              <w:widowControl w:val="off"/>
              <w:tabs>
                <w:tab w:val="left" w:pos="449" w:leader="none"/>
              </w:tabs>
              <w:rPr>
                <w:sz w:val="20"/>
                <w:szCs w:val="20"/>
              </w:rPr>
            </w:pPr>
            <w:r>
              <w:rPr>
                <w:sz w:val="20"/>
                <w:szCs w:val="20"/>
              </w:rPr>
              <w:t xml:space="preserve">Обязательные документы (участник должен принять во внимание, что в случае </w:t>
            </w:r>
            <w:r>
              <w:rPr>
                <w:sz w:val="20"/>
                <w:szCs w:val="20"/>
              </w:rPr>
              <w:t xml:space="preserve">непредоставления</w:t>
            </w:r>
            <w:r>
              <w:rPr>
                <w:sz w:val="20"/>
                <w:szCs w:val="20"/>
              </w:rPr>
              <w:t xml:space="preserve"> обязательных документов, либо предоставления документов, несоответствующих установленным в документации о закупке требованиям, закупочная комиссия принимает решение об отклонении заявки):</w:t>
            </w:r>
            <w:r>
              <w:rPr>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Сведения об участнике закупки по форме, приведенной в настоящей документации о закупке (часть III «ОБРАЗЦЫ ФОРМ ДЛЯ ЗАПОЛНЕНИЯ УЧАСТНИКАМИ ЗАКУПКИ», форма 2).</w:t>
            </w:r>
            <w:r>
              <w:rPr>
                <w:rFonts w:ascii="Times New Roman" w:hAnsi="Times New Roman" w:cs="Times New Roman"/>
                <w:b w:val="0"/>
                <w:color w:val="auto"/>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Копия учредительного документа в соответствии со ст. 52 ГК РФ (если участником закупки является юридическое лицо);</w:t>
            </w:r>
            <w:r>
              <w:rPr>
                <w:rFonts w:ascii="Times New Roman" w:hAnsi="Times New Roman" w:cs="Times New Roman"/>
                <w:b w:val="0"/>
                <w:color w:val="auto"/>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Копия документа, подтверждающего полномочия лица действовать от имени участника закупки, за исключением случаев подписания заявки:</w:t>
            </w:r>
            <w:r>
              <w:rPr>
                <w:rFonts w:ascii="Times New Roman" w:hAnsi="Times New Roman" w:cs="Times New Roman"/>
                <w:b w:val="0"/>
                <w:color w:val="auto"/>
                <w:sz w:val="20"/>
                <w:szCs w:val="20"/>
              </w:rPr>
            </w:r>
          </w:p>
          <w:p>
            <w:pPr>
              <w:pStyle w:val="1243"/>
              <w:numPr>
                <w:ilvl w:val="0"/>
                <w:numId w:val="41"/>
              </w:numPr>
              <w:ind w:left="562" w:hanging="562"/>
              <w:jc w:val="both"/>
              <w:spacing w:after="120"/>
              <w:widowControl w:val="off"/>
              <w:tabs>
                <w:tab w:val="left" w:pos="562" w:leader="none"/>
              </w:tabs>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 индивидуальным предпринимателем, если участником закупки является индивидуальный предприниматель;</w:t>
            </w:r>
            <w:r>
              <w:rPr>
                <w:rFonts w:ascii="Times New Roman" w:hAnsi="Times New Roman" w:cs="Times New Roman"/>
                <w:b w:val="0"/>
                <w:color w:val="auto"/>
                <w:sz w:val="20"/>
                <w:szCs w:val="20"/>
              </w:rPr>
            </w:r>
          </w:p>
          <w:p>
            <w:pPr>
              <w:pStyle w:val="1243"/>
              <w:numPr>
                <w:ilvl w:val="0"/>
                <w:numId w:val="41"/>
              </w:numPr>
              <w:ind w:left="562" w:hanging="562"/>
              <w:jc w:val="both"/>
              <w:spacing w:after="120"/>
              <w:widowControl w:val="off"/>
              <w:tabs>
                <w:tab w:val="left" w:pos="562" w:leader="none"/>
              </w:tabs>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r>
              <w:rPr>
                <w:rFonts w:ascii="Times New Roman" w:hAnsi="Times New Roman" w:cs="Times New Roman"/>
                <w:b w:val="0"/>
                <w:color w:val="auto"/>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w:t>
            </w:r>
            <w:r>
              <w:rPr>
                <w:rFonts w:ascii="Times New Roman" w:hAnsi="Times New Roman" w:cs="Times New Roman"/>
                <w:b w:val="0"/>
                <w:color w:val="auto"/>
                <w:sz w:val="20"/>
                <w:szCs w:val="20"/>
              </w:rPr>
              <w:t xml:space="preserve">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w:t>
            </w:r>
            <w:r>
              <w:rPr>
                <w:rFonts w:ascii="Times New Roman" w:hAnsi="Times New Roman" w:cs="Times New Roman"/>
                <w:b w:val="0"/>
                <w:color w:val="auto"/>
                <w:sz w:val="20"/>
                <w:szCs w:val="20"/>
              </w:rPr>
              <w:t xml:space="preserve"> крупной сделкой</w:t>
            </w:r>
            <w:r>
              <w:rPr>
                <w:rFonts w:ascii="Times New Roman" w:hAnsi="Times New Roman" w:cs="Times New Roman"/>
                <w:b w:val="0"/>
                <w:color w:val="auto"/>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Информация и документы об обеспечении заявки на участие в закупке (если установлено требование об обеспечении заявок):</w:t>
            </w:r>
            <w:r>
              <w:rPr>
                <w:rFonts w:ascii="Times New Roman" w:hAnsi="Times New Roman" w:cs="Times New Roman"/>
                <w:b w:val="0"/>
                <w:color w:val="auto"/>
                <w:sz w:val="20"/>
                <w:szCs w:val="20"/>
              </w:rPr>
            </w:r>
          </w:p>
          <w:p>
            <w:pPr>
              <w:pStyle w:val="1352"/>
              <w:numPr>
                <w:ilvl w:val="0"/>
                <w:numId w:val="27"/>
              </w:numPr>
              <w:ind w:left="641" w:hanging="567"/>
              <w:jc w:val="both"/>
              <w:spacing w:after="120"/>
              <w:widowControl w:val="off"/>
              <w:rPr>
                <w:rFonts w:eastAsiaTheme="minorHAnsi"/>
                <w:bCs/>
                <w:sz w:val="20"/>
                <w:szCs w:val="20"/>
                <w:lang w:eastAsia="en-US"/>
              </w:rPr>
            </w:pPr>
            <w:r>
              <w:rPr>
                <w:rFonts w:eastAsiaTheme="minorHAnsi"/>
                <w:bCs/>
                <w:sz w:val="20"/>
                <w:szCs w:val="20"/>
                <w:lang w:eastAsia="en-US"/>
              </w:rPr>
              <w:t xml:space="preserve">реквизиты специального банковского счета участника закупки (если обеспечение заявки на участие в такой закупке предоставляется участником закупки путем внесения денежных средств);</w:t>
            </w:r>
            <w:r>
              <w:rPr>
                <w:rFonts w:eastAsiaTheme="minorHAnsi"/>
                <w:bCs/>
                <w:sz w:val="20"/>
                <w:szCs w:val="20"/>
                <w:lang w:eastAsia="en-US"/>
              </w:rPr>
            </w:r>
          </w:p>
          <w:p>
            <w:pPr>
              <w:pStyle w:val="1352"/>
              <w:numPr>
                <w:ilvl w:val="0"/>
                <w:numId w:val="27"/>
              </w:numPr>
              <w:ind w:left="641" w:hanging="567"/>
              <w:jc w:val="both"/>
              <w:spacing w:after="120"/>
              <w:widowControl w:val="off"/>
              <w:rPr>
                <w:rFonts w:eastAsiaTheme="minorHAnsi"/>
                <w:bCs/>
                <w:sz w:val="20"/>
                <w:szCs w:val="20"/>
                <w:lang w:eastAsia="en-US"/>
              </w:rPr>
            </w:pPr>
            <w:r>
              <w:rPr>
                <w:rFonts w:eastAsiaTheme="minorHAnsi"/>
                <w:bCs/>
                <w:sz w:val="20"/>
                <w:szCs w:val="20"/>
                <w:lang w:eastAsia="en-US"/>
              </w:rPr>
              <w:t xml:space="preserve">независимая гарантия или ее копия (если в качестве обеспечения заявки на участие в закупке участником такой закупки предоставляется независимая гарантия).</w:t>
            </w:r>
            <w:r>
              <w:rPr>
                <w:rFonts w:eastAsiaTheme="minorHAnsi"/>
                <w:bCs/>
                <w:sz w:val="20"/>
                <w:szCs w:val="20"/>
                <w:lang w:eastAsia="en-US"/>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Д</w:t>
            </w:r>
            <w:r>
              <w:rPr>
                <w:rFonts w:ascii="Times New Roman" w:hAnsi="Times New Roman" w:cs="Times New Roman"/>
                <w:b w:val="0"/>
                <w:color w:val="auto"/>
                <w:sz w:val="20"/>
                <w:szCs w:val="20"/>
              </w:rPr>
              <w:t xml:space="preserve">екларация, подтверждающая на дату подачи заявки на участие в закупке соответствие участника, требованиям, установленным п. 9 ч. 19.1 ст. 3.4 Закона 223-ФЗ (УКАЗАННАЯ ДЕКЛАРАЦИЯ ПРЕДСТАВЛЯЕТСЯ УЧАСТНИКАМИ С ИСПОЛЬЗОВАНИЕМ ПРОГРАММНО-АППАРАТНЫХ СРЕДСТВ ЕЭТП)</w:t>
            </w:r>
            <w:r>
              <w:rPr>
                <w:rFonts w:ascii="Times New Roman" w:hAnsi="Times New Roman" w:cs="Times New Roman"/>
                <w:b w:val="0"/>
                <w:color w:val="auto"/>
                <w:sz w:val="20"/>
                <w:szCs w:val="20"/>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rPr>
            </w:pPr>
            <w:r>
              <w:rPr>
                <w:rFonts w:ascii="Times New Roman" w:hAnsi="Times New Roman" w:cs="Times New Roman"/>
                <w:b w:val="0"/>
                <w:color w:val="auto"/>
                <w:sz w:val="20"/>
                <w:szCs w:val="20"/>
              </w:rPr>
              <w:t xml:space="preserve">Для физических лиц, не являющихся индивидуальным предпринимателем и применяющих специальный налоговый режим «Налог на профессиональный доход»:</w:t>
            </w:r>
            <w:r>
              <w:rPr>
                <w:rFonts w:ascii="Times New Roman" w:hAnsi="Times New Roman" w:cs="Times New Roman"/>
                <w:b w:val="0"/>
                <w:color w:val="auto"/>
                <w:sz w:val="20"/>
                <w:szCs w:val="20"/>
              </w:rPr>
            </w:r>
          </w:p>
          <w:p>
            <w:pPr>
              <w:pStyle w:val="1369"/>
              <w:numPr>
                <w:ilvl w:val="0"/>
                <w:numId w:val="43"/>
              </w:numPr>
              <w:ind w:left="704" w:hanging="284"/>
              <w:spacing w:after="120"/>
              <w:widowControl w:val="off"/>
              <w:tabs>
                <w:tab w:val="left" w:pos="748" w:leader="none"/>
              </w:tabs>
              <w:rPr>
                <w:sz w:val="20"/>
                <w:szCs w:val="20"/>
              </w:rPr>
            </w:pPr>
            <w:r>
              <w:rPr>
                <w:sz w:val="20"/>
                <w:szCs w:val="20"/>
              </w:rPr>
              <w:t xml:space="preserve">копия паспорта гражданина Российской Федерации или паспорта иного государства, или иной документ, его заменяющий в соответствии с требованиями действующего законодательства Российской Федерации. В случае</w:t>
            </w:r>
            <w:r>
              <w:rPr>
                <w:sz w:val="20"/>
                <w:szCs w:val="20"/>
              </w:rPr>
              <w:t xml:space="preserve">,</w:t>
            </w:r>
            <w:r>
              <w:rPr>
                <w:sz w:val="20"/>
                <w:szCs w:val="20"/>
              </w:rPr>
              <w:t xml:space="preserve"> если паспорт или иной его заменяющий документ выдан на территории иного государства, должен быть представлен </w:t>
            </w:r>
            <w:r>
              <w:rPr>
                <w:sz w:val="20"/>
                <w:szCs w:val="20"/>
              </w:rPr>
              <w:t xml:space="preserve">апостилированный</w:t>
            </w:r>
            <w:r>
              <w:rPr>
                <w:sz w:val="20"/>
                <w:szCs w:val="20"/>
              </w:rPr>
              <w:t xml:space="preserve"> перевод такого документа;</w:t>
            </w:r>
            <w:r>
              <w:rPr>
                <w:sz w:val="20"/>
                <w:szCs w:val="20"/>
              </w:rPr>
            </w:r>
          </w:p>
          <w:p>
            <w:pPr>
              <w:pStyle w:val="1369"/>
              <w:numPr>
                <w:ilvl w:val="0"/>
                <w:numId w:val="43"/>
              </w:numPr>
              <w:ind w:left="704" w:hanging="284"/>
              <w:spacing w:after="120"/>
              <w:widowControl w:val="off"/>
              <w:tabs>
                <w:tab w:val="left" w:pos="748" w:leader="none"/>
              </w:tabs>
              <w:rPr>
                <w:sz w:val="20"/>
                <w:szCs w:val="20"/>
              </w:rPr>
            </w:pPr>
            <w:r>
              <w:rPr>
                <w:sz w:val="20"/>
                <w:szCs w:val="20"/>
              </w:rPr>
              <w:t xml:space="preserve">копия свидетельства о присвоении идентификационного номера налогоплательщика (ИНН);</w:t>
            </w:r>
            <w:r>
              <w:rPr>
                <w:sz w:val="20"/>
                <w:szCs w:val="20"/>
              </w:rPr>
            </w:r>
          </w:p>
          <w:p>
            <w:pPr>
              <w:pStyle w:val="1369"/>
              <w:numPr>
                <w:ilvl w:val="0"/>
                <w:numId w:val="43"/>
              </w:numPr>
              <w:ind w:left="704" w:hanging="284"/>
              <w:spacing w:after="120"/>
              <w:widowControl w:val="off"/>
              <w:tabs>
                <w:tab w:val="left" w:pos="748" w:leader="none"/>
              </w:tabs>
              <w:rPr>
                <w:sz w:val="20"/>
                <w:szCs w:val="20"/>
              </w:rPr>
            </w:pPr>
            <w:r>
              <w:rPr>
                <w:sz w:val="20"/>
                <w:szCs w:val="20"/>
              </w:rPr>
              <w:t xml:space="preserve">копия страхового свидетельства государственного </w:t>
            </w:r>
            <w:r>
              <w:rPr>
                <w:sz w:val="20"/>
                <w:szCs w:val="20"/>
              </w:rPr>
              <w:t xml:space="preserve">пенсионного страхования;</w:t>
            </w:r>
            <w:r>
              <w:rPr>
                <w:sz w:val="20"/>
                <w:szCs w:val="20"/>
              </w:rPr>
            </w:r>
          </w:p>
          <w:p>
            <w:pPr>
              <w:pStyle w:val="1369"/>
              <w:numPr>
                <w:ilvl w:val="0"/>
                <w:numId w:val="43"/>
              </w:numPr>
              <w:ind w:left="704" w:hanging="284"/>
              <w:spacing w:after="120"/>
              <w:widowControl w:val="off"/>
              <w:tabs>
                <w:tab w:val="left" w:pos="748" w:leader="none"/>
              </w:tabs>
              <w:rPr>
                <w:sz w:val="20"/>
                <w:szCs w:val="20"/>
              </w:rPr>
            </w:pPr>
            <w:r>
              <w:rPr>
                <w:sz w:val="20"/>
                <w:szCs w:val="20"/>
              </w:rPr>
              <w:t xml:space="preserve">согласие на обработку персональных данных в соответствии с Федеральным законом от 27.07.2006 № 152-ФЗ «О персональных данных» (часть III «ОБРАЗЦЫ ФОРМ ДЛЯ ЗАПОЛНЕНИЯ УЧАСТНИКАМИ ЗАКУПКИ», форма 4);</w:t>
            </w:r>
            <w:r>
              <w:rPr>
                <w:sz w:val="20"/>
                <w:szCs w:val="20"/>
              </w:rPr>
            </w:r>
          </w:p>
          <w:p>
            <w:pPr>
              <w:pStyle w:val="1369"/>
              <w:numPr>
                <w:ilvl w:val="0"/>
                <w:numId w:val="43"/>
              </w:numPr>
              <w:ind w:left="704" w:hanging="284"/>
              <w:spacing w:after="120"/>
              <w:widowControl w:val="off"/>
              <w:tabs>
                <w:tab w:val="left" w:pos="748" w:leader="none"/>
              </w:tabs>
              <w:rPr>
                <w:sz w:val="20"/>
                <w:szCs w:val="20"/>
              </w:rPr>
            </w:pPr>
            <w:r>
              <w:rPr>
                <w:sz w:val="20"/>
                <w:szCs w:val="20"/>
              </w:rPr>
              <w:t xml:space="preserve">справка о постановке на учет в качестве плательщика «Налога на профессиональный доход»</w:t>
            </w:r>
            <w:r>
              <w:rPr>
                <w:sz w:val="20"/>
                <w:szCs w:val="20"/>
                <w:shd w:val="clear" w:color="auto" w:fill="ffffff"/>
              </w:rPr>
              <w:t xml:space="preserve">.</w:t>
            </w:r>
            <w:r>
              <w:rPr>
                <w:sz w:val="20"/>
                <w:szCs w:val="20"/>
              </w:rPr>
            </w:r>
          </w:p>
          <w:p>
            <w:pPr>
              <w:pStyle w:val="1243"/>
              <w:numPr>
                <w:ilvl w:val="1"/>
                <w:numId w:val="25"/>
              </w:numPr>
              <w:ind w:left="464" w:hanging="464"/>
              <w:jc w:val="both"/>
              <w:spacing w:after="120"/>
              <w:widowControl w:val="off"/>
              <w:rPr>
                <w:rFonts w:ascii="Times New Roman" w:hAnsi="Times New Roman" w:eastAsia="Times New Roman" w:cs="Times New Roman"/>
                <w:b w:val="0"/>
                <w:color w:val="auto"/>
                <w:sz w:val="20"/>
                <w:szCs w:val="20"/>
                <w:lang w:eastAsia="ru-RU"/>
              </w:rPr>
            </w:pPr>
            <w:r>
              <w:rPr>
                <w:rFonts w:ascii="Times New Roman" w:hAnsi="Times New Roman" w:eastAsia="Times New Roman" w:cs="Times New Roman"/>
                <w:b w:val="0"/>
                <w:color w:val="auto"/>
                <w:sz w:val="20"/>
                <w:szCs w:val="20"/>
                <w:lang w:eastAsia="ru-RU"/>
              </w:rPr>
              <w:t xml:space="preserve">Предложение о цене договора по форме и в соответствии с инструкциями, приведенными в настоящей документации о закупке (часть </w:t>
            </w:r>
            <w:r>
              <w:rPr>
                <w:rFonts w:ascii="Times New Roman" w:hAnsi="Times New Roman" w:eastAsia="Times New Roman" w:cs="Times New Roman"/>
                <w:b w:val="0"/>
                <w:color w:val="auto"/>
                <w:sz w:val="20"/>
                <w:szCs w:val="20"/>
                <w:lang w:val="en-US" w:eastAsia="ru-RU"/>
              </w:rPr>
              <w:t xml:space="preserve">III</w:t>
            </w:r>
            <w:r>
              <w:rPr>
                <w:rFonts w:ascii="Times New Roman" w:hAnsi="Times New Roman" w:eastAsia="Times New Roman" w:cs="Times New Roman"/>
                <w:b w:val="0"/>
                <w:color w:val="auto"/>
                <w:sz w:val="20"/>
                <w:szCs w:val="20"/>
                <w:lang w:eastAsia="ru-RU"/>
              </w:rPr>
              <w:t xml:space="preserve"> «ОБРАЗЦЫ ФОРМ ДЛЯ ЗАПОЛНЕНИЯ УЧАСТНИКАМИ ЗАКУПКИ», форма </w:t>
            </w:r>
            <w:r>
              <w:rPr>
                <w:rFonts w:ascii="Times New Roman" w:hAnsi="Times New Roman" w:eastAsia="Times New Roman" w:cs="Times New Roman"/>
                <w:b w:val="0"/>
                <w:color w:val="auto"/>
                <w:sz w:val="20"/>
                <w:szCs w:val="20"/>
                <w:lang w:eastAsia="ru-RU"/>
              </w:rPr>
              <w:t xml:space="preserve">7</w:t>
            </w:r>
            <w:r>
              <w:rPr>
                <w:rFonts w:ascii="Times New Roman" w:hAnsi="Times New Roman" w:eastAsia="Times New Roman" w:cs="Times New Roman"/>
                <w:b w:val="0"/>
                <w:color w:val="auto"/>
                <w:sz w:val="20"/>
                <w:szCs w:val="20"/>
                <w:lang w:eastAsia="ru-RU"/>
              </w:rPr>
              <w:t xml:space="preserve">).</w:t>
            </w:r>
            <w:r>
              <w:rPr>
                <w:rFonts w:ascii="Times New Roman" w:hAnsi="Times New Roman" w:eastAsia="Times New Roman" w:cs="Times New Roman"/>
                <w:b w:val="0"/>
                <w:color w:val="auto"/>
                <w:sz w:val="20"/>
                <w:szCs w:val="20"/>
                <w:lang w:eastAsia="ru-RU"/>
              </w:rPr>
            </w:r>
          </w:p>
          <w:p>
            <w:pPr>
              <w:pStyle w:val="1352"/>
              <w:ind w:left="34"/>
              <w:jc w:val="both"/>
              <w:spacing w:after="120"/>
              <w:widowControl w:val="off"/>
              <w:tabs>
                <w:tab w:val="left" w:pos="601" w:leader="none"/>
              </w:tabs>
              <w:rPr>
                <w:b/>
                <w:sz w:val="20"/>
                <w:szCs w:val="20"/>
                <w:u w:val="single"/>
                <w:lang w:eastAsia="en-US"/>
              </w:rPr>
            </w:pPr>
            <w:r>
              <w:rPr>
                <w:b/>
                <w:sz w:val="20"/>
                <w:szCs w:val="20"/>
                <w:u w:val="single"/>
                <w:lang w:eastAsia="en-US"/>
              </w:rPr>
              <w:t xml:space="preserve">Документы, предоставляемые в составе второй части заявки для оценки заявок по Критериям оценки и сопоставления заявок (приложение 1 к части II «ИНФОРМАЦИОННАЯ КАРТА ЗАКУПКИ» </w:t>
            </w:r>
            <w:r>
              <w:rPr>
                <w:i/>
                <w:iCs/>
                <w:sz w:val="20"/>
                <w:szCs w:val="20"/>
              </w:rPr>
              <w:t xml:space="preserve">(участник должен принять во внимание, что отсутствие во второй части заявки информации и документов, подлежащих представлению для осуществления ее оценки по соответствующим критериям, не является основанием для отклонения заявки)</w:t>
            </w:r>
            <w:r>
              <w:rPr>
                <w:b/>
                <w:sz w:val="20"/>
                <w:szCs w:val="20"/>
                <w:u w:val="single"/>
                <w:lang w:eastAsia="en-US"/>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lang w:bidi="ru-RU"/>
              </w:rPr>
            </w:pPr>
            <w:r>
              <w:rPr>
                <w:rFonts w:ascii="Times New Roman" w:hAnsi="Times New Roman" w:cs="Times New Roman"/>
                <w:b w:val="0"/>
                <w:color w:val="auto"/>
                <w:sz w:val="20"/>
                <w:szCs w:val="20"/>
                <w:lang w:bidi="ru-RU"/>
              </w:rPr>
              <w:t xml:space="preserve">Справка для оценки опыта оказания аналогичных услуг за последние три года </w:t>
            </w:r>
            <w:r>
              <w:rPr>
                <w:rFonts w:ascii="Times New Roman" w:hAnsi="Times New Roman" w:cs="Times New Roman"/>
                <w:b w:val="0"/>
                <w:color w:val="auto"/>
                <w:sz w:val="20"/>
                <w:szCs w:val="20"/>
                <w:lang w:bidi="ru-RU"/>
              </w:rPr>
              <w:t xml:space="preserve">по установленной в настоящей документации форме (часть III «ОБРАЗЦЫ ФОРМ ДЛЯ ЗАПОЛНЕНИЯ УЧАСТНИКАМИ ЗАКУПКИ», форма </w:t>
            </w:r>
            <w:r>
              <w:rPr>
                <w:rFonts w:ascii="Times New Roman" w:hAnsi="Times New Roman" w:cs="Times New Roman"/>
                <w:b w:val="0"/>
                <w:color w:val="auto"/>
                <w:sz w:val="20"/>
                <w:szCs w:val="20"/>
                <w:lang w:bidi="ru-RU"/>
              </w:rPr>
              <w:t xml:space="preserve">5</w:t>
            </w:r>
            <w:r>
              <w:rPr>
                <w:rFonts w:ascii="Times New Roman" w:hAnsi="Times New Roman" w:cs="Times New Roman"/>
                <w:b w:val="0"/>
                <w:color w:val="auto"/>
                <w:sz w:val="20"/>
                <w:szCs w:val="20"/>
                <w:lang w:bidi="ru-RU"/>
              </w:rPr>
              <w:t xml:space="preserve">) с приложением подтверждающих документов, указанных в п. 4 Приложения 1 к Части II «Информационная карта закупки».</w:t>
            </w:r>
            <w:r>
              <w:rPr>
                <w:rFonts w:ascii="Times New Roman" w:hAnsi="Times New Roman" w:cs="Times New Roman"/>
                <w:b w:val="0"/>
                <w:color w:val="auto"/>
                <w:sz w:val="20"/>
                <w:szCs w:val="20"/>
                <w:lang w:bidi="ru-RU"/>
              </w:rPr>
            </w:r>
          </w:p>
          <w:p>
            <w:pPr>
              <w:pStyle w:val="1243"/>
              <w:numPr>
                <w:ilvl w:val="1"/>
                <w:numId w:val="25"/>
              </w:numPr>
              <w:ind w:left="464" w:hanging="464"/>
              <w:jc w:val="both"/>
              <w:spacing w:after="120"/>
              <w:widowControl w:val="off"/>
              <w:rPr>
                <w:rFonts w:ascii="Times New Roman" w:hAnsi="Times New Roman" w:cs="Times New Roman"/>
                <w:b w:val="0"/>
                <w:color w:val="auto"/>
                <w:sz w:val="20"/>
                <w:szCs w:val="20"/>
                <w:lang w:bidi="ru-RU"/>
              </w:rPr>
            </w:pPr>
            <w:r>
              <w:rPr>
                <w:rFonts w:ascii="Times New Roman" w:hAnsi="Times New Roman" w:cs="Times New Roman"/>
                <w:b w:val="0"/>
                <w:color w:val="auto"/>
                <w:sz w:val="20"/>
                <w:szCs w:val="20"/>
                <w:lang w:bidi="ru-RU"/>
              </w:rPr>
              <w:t xml:space="preserve">Справка о привлекаемых кадровых ресурсах (часть III «ОБРАЗЦЫ ФОРМ ДЛЯ ЗАПОЛНЕН</w:t>
            </w:r>
            <w:r>
              <w:rPr>
                <w:rFonts w:ascii="Times New Roman" w:hAnsi="Times New Roman" w:cs="Times New Roman"/>
                <w:b w:val="0"/>
                <w:color w:val="auto"/>
                <w:sz w:val="20"/>
                <w:szCs w:val="20"/>
                <w:lang w:bidi="ru-RU"/>
              </w:rPr>
              <w:t xml:space="preserve">ИЯ УЧАСТНИКАМИ ЗАКУПКИ», форма 6</w:t>
            </w:r>
            <w:r>
              <w:rPr>
                <w:rFonts w:ascii="Times New Roman" w:hAnsi="Times New Roman" w:cs="Times New Roman"/>
                <w:b w:val="0"/>
                <w:color w:val="auto"/>
                <w:sz w:val="20"/>
                <w:szCs w:val="20"/>
                <w:lang w:bidi="ru-RU"/>
              </w:rPr>
              <w:t xml:space="preserve">) с предоставлением подтверждающих документов, указанных в п. 5 Приложения № 1 к части II</w:t>
            </w:r>
            <w:r>
              <w:rPr>
                <w:rFonts w:ascii="Times New Roman" w:hAnsi="Times New Roman" w:cs="Times New Roman"/>
                <w:b w:val="0"/>
                <w:color w:val="auto"/>
                <w:sz w:val="20"/>
                <w:szCs w:val="20"/>
                <w:lang w:bidi="ru-RU"/>
              </w:rPr>
              <w:t xml:space="preserve"> «ИНФОРМАЦИОННАЯ КАРТА ЗАКУПКИ», в том числе резюме работников по форме 6.1.</w:t>
            </w:r>
            <w:r>
              <w:rPr>
                <w:rFonts w:ascii="Times New Roman" w:hAnsi="Times New Roman" w:cs="Times New Roman"/>
                <w:b w:val="0"/>
                <w:color w:val="auto"/>
                <w:sz w:val="20"/>
                <w:szCs w:val="20"/>
                <w:lang w:bidi="ru-RU"/>
              </w:rPr>
            </w:r>
          </w:p>
          <w:p>
            <w:pPr>
              <w:pStyle w:val="1352"/>
              <w:numPr>
                <w:ilvl w:val="1"/>
                <w:numId w:val="25"/>
              </w:numPr>
              <w:ind w:left="557" w:hanging="557"/>
              <w:jc w:val="both"/>
              <w:rPr>
                <w:rFonts w:eastAsiaTheme="minorHAnsi"/>
                <w:bCs/>
                <w:sz w:val="20"/>
                <w:szCs w:val="20"/>
                <w:lang w:eastAsia="en-US" w:bidi="ru-RU"/>
              </w:rPr>
            </w:pPr>
            <w:r>
              <w:rPr>
                <w:rFonts w:eastAsiaTheme="minorHAnsi"/>
                <w:bCs/>
                <w:sz w:val="20"/>
                <w:szCs w:val="20"/>
                <w:lang w:eastAsia="en-US" w:bidi="ru-RU"/>
              </w:rPr>
              <w:t xml:space="preserve">К</w:t>
            </w:r>
            <w:r>
              <w:rPr>
                <w:rFonts w:eastAsiaTheme="minorHAnsi"/>
                <w:bCs/>
                <w:sz w:val="20"/>
                <w:szCs w:val="20"/>
                <w:lang w:eastAsia="en-US" w:bidi="ru-RU"/>
              </w:rPr>
              <w:t xml:space="preserve">опия </w:t>
            </w:r>
            <w:r>
              <w:rPr>
                <w:rFonts w:eastAsiaTheme="minorHAnsi"/>
                <w:bCs/>
                <w:sz w:val="20"/>
                <w:szCs w:val="20"/>
                <w:lang w:eastAsia="en-US" w:bidi="ru-RU"/>
              </w:rPr>
              <w:t xml:space="preserve">п</w:t>
            </w:r>
            <w:r>
              <w:rPr>
                <w:rFonts w:eastAsiaTheme="minorHAnsi"/>
                <w:bCs/>
                <w:sz w:val="20"/>
                <w:szCs w:val="20"/>
                <w:lang w:eastAsia="en-US" w:bidi="ru-RU"/>
              </w:rPr>
              <w:t xml:space="preserve">артнерс</w:t>
            </w:r>
            <w:r>
              <w:rPr>
                <w:rFonts w:eastAsiaTheme="minorHAnsi"/>
                <w:bCs/>
                <w:sz w:val="20"/>
                <w:szCs w:val="20"/>
                <w:lang w:eastAsia="en-US" w:bidi="ru-RU"/>
              </w:rPr>
              <w:t xml:space="preserve">кого</w:t>
            </w:r>
            <w:r>
              <w:rPr>
                <w:rFonts w:eastAsiaTheme="minorHAnsi"/>
                <w:bCs/>
                <w:sz w:val="20"/>
                <w:szCs w:val="20"/>
                <w:lang w:eastAsia="en-US" w:bidi="ru-RU"/>
              </w:rPr>
              <w:t xml:space="preserve"> сертификат</w:t>
            </w:r>
            <w:r>
              <w:rPr>
                <w:rFonts w:eastAsiaTheme="minorHAnsi"/>
                <w:bCs/>
                <w:sz w:val="20"/>
                <w:szCs w:val="20"/>
                <w:lang w:eastAsia="en-US" w:bidi="ru-RU"/>
              </w:rPr>
              <w:t xml:space="preserve">а</w:t>
            </w:r>
            <w:r>
              <w:rPr>
                <w:rFonts w:eastAsiaTheme="minorHAnsi"/>
                <w:bCs/>
                <w:sz w:val="20"/>
                <w:szCs w:val="20"/>
                <w:lang w:eastAsia="en-US" w:bidi="ru-RU"/>
              </w:rPr>
              <w:t xml:space="preserve"> </w:t>
            </w:r>
            <w:r>
              <w:rPr>
                <w:rFonts w:eastAsiaTheme="minorHAnsi"/>
                <w:bCs/>
                <w:sz w:val="20"/>
                <w:szCs w:val="20"/>
                <w:lang w:val="en-US" w:eastAsia="en-US" w:bidi="ru-RU"/>
              </w:rPr>
              <w:t xml:space="preserve">BPMSoft</w:t>
            </w:r>
            <w:r>
              <w:rPr>
                <w:rFonts w:eastAsiaTheme="minorHAnsi"/>
                <w:bCs/>
                <w:sz w:val="20"/>
                <w:szCs w:val="20"/>
                <w:lang w:eastAsia="en-US" w:bidi="ru-RU"/>
              </w:rPr>
              <w:t xml:space="preserve">, указанн</w:t>
            </w:r>
            <w:r>
              <w:rPr>
                <w:rFonts w:eastAsiaTheme="minorHAnsi"/>
                <w:bCs/>
                <w:sz w:val="20"/>
                <w:szCs w:val="20"/>
                <w:lang w:eastAsia="en-US" w:bidi="ru-RU"/>
              </w:rPr>
              <w:t xml:space="preserve">ого</w:t>
            </w:r>
            <w:r>
              <w:rPr>
                <w:rFonts w:eastAsiaTheme="minorHAnsi"/>
                <w:bCs/>
                <w:sz w:val="20"/>
                <w:szCs w:val="20"/>
                <w:lang w:eastAsia="en-US" w:bidi="ru-RU"/>
              </w:rPr>
              <w:t xml:space="preserve"> в п. 6 Приложения № 1 к части II «ИНФОРМАЦИОННАЯ КАРТА ЗАКУПКИ».</w:t>
            </w:r>
            <w:r>
              <w:rPr>
                <w:rFonts w:eastAsiaTheme="minorHAnsi"/>
                <w:bCs/>
                <w:sz w:val="20"/>
                <w:szCs w:val="20"/>
                <w:lang w:eastAsia="en-US" w:bidi="ru-RU"/>
              </w:rPr>
            </w:r>
          </w:p>
          <w:p>
            <w:pPr>
              <w:pStyle w:val="1243"/>
              <w:jc w:val="both"/>
              <w:keepLines/>
              <w:spacing w:after="120"/>
              <w:widowControl w:val="off"/>
              <w:rPr>
                <w:rFonts w:ascii="Times New Roman" w:hAnsi="Times New Roman" w:cs="Times New Roman"/>
                <w:sz w:val="20"/>
                <w:szCs w:val="20"/>
              </w:rPr>
            </w:pPr>
            <w:r>
              <w:rPr>
                <w:rFonts w:ascii="Times New Roman" w:hAnsi="Times New Roman" w:cs="Times New Roman"/>
                <w:b w:val="0"/>
                <w:color w:val="auto"/>
                <w:sz w:val="20"/>
                <w:szCs w:val="20"/>
              </w:rPr>
              <w:t xml:space="preserve">3. </w:t>
            </w:r>
            <w:r>
              <w:rPr>
                <w:rFonts w:ascii="Times New Roman" w:hAnsi="Times New Roman" w:cs="Times New Roman"/>
                <w:b w:val="0"/>
                <w:color w:val="auto"/>
                <w:sz w:val="20"/>
                <w:szCs w:val="20"/>
              </w:rPr>
              <w:t xml:space="preserve">В случае подачи дополнительного ценового предложения в соответствии с п. 6.4 части I «ОБЩИЕ УСЛОВИЯ ПРОВЕДЕНИЯ ЗАКУПКИ», участник должен разместить на ЕЭТП в соответствии с функционалом ЕЭТП  актуали</w:t>
            </w:r>
            <w:r>
              <w:rPr>
                <w:rFonts w:ascii="Times New Roman" w:hAnsi="Times New Roman" w:cs="Times New Roman"/>
                <w:b w:val="0"/>
                <w:color w:val="auto"/>
                <w:sz w:val="20"/>
                <w:szCs w:val="20"/>
              </w:rPr>
              <w:t xml:space="preserve">зированное  согласно поданному дополнительному ценовому предложению  Предложение о цене договора по формам и в соответствии с инструкциями, приведенными в настоящей документации о закупке (часть III «ОБРАЗЦЫ ФОРМ ДЛЯ ЗАПОЛНЕНИЯ УЧАСТНИКАМИ ЗАКУПКИ», форма </w:t>
            </w:r>
            <w:r>
              <w:rPr>
                <w:rFonts w:ascii="Times New Roman" w:hAnsi="Times New Roman" w:cs="Times New Roman"/>
                <w:b w:val="0"/>
                <w:color w:val="auto"/>
                <w:sz w:val="20"/>
                <w:szCs w:val="20"/>
              </w:rPr>
              <w:t xml:space="preserve">7</w:t>
            </w:r>
            <w:r>
              <w:rPr>
                <w:rFonts w:ascii="Times New Roman" w:hAnsi="Times New Roman" w:cs="Times New Roman"/>
                <w:b w:val="0"/>
                <w:color w:val="auto"/>
                <w:sz w:val="20"/>
                <w:szCs w:val="20"/>
              </w:rPr>
              <w:t xml:space="preserve">).</w:t>
            </w:r>
            <w:r>
              <w:rPr>
                <w:rFonts w:ascii="Times New Roman" w:hAnsi="Times New Roman" w:cs="Times New Roman"/>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ind w:left="0"/>
              <w:jc w:val="left"/>
              <w:keepLines/>
              <w:keepNext w:val="0"/>
              <w:spacing w:before="0" w:after="0"/>
              <w:widowControl w:val="off"/>
              <w:tabs>
                <w:tab w:val="left" w:pos="284" w:leader="none"/>
                <w:tab w:val="clear" w:pos="312" w:leader="none"/>
              </w:tabs>
              <w:rPr>
                <w:rFonts w:ascii="Times New Roman" w:hAnsi="Times New Roman" w:cs="Times New Roman"/>
                <w:b w:val="0"/>
                <w:sz w:val="20"/>
                <w:szCs w:val="20"/>
              </w:rPr>
            </w:pPr>
            <w:r>
              <w:rPr>
                <w:rFonts w:ascii="Times New Roman" w:hAnsi="Times New Roman" w:cs="Times New Roman"/>
                <w:b w:val="0"/>
                <w:sz w:val="20"/>
                <w:szCs w:val="20"/>
              </w:rPr>
              <w:t xml:space="preserve">11.</w:t>
            </w:r>
            <w:r>
              <w:rPr>
                <w:rFonts w:ascii="Times New Roman" w:hAnsi="Times New Roman" w:cs="Times New Roman"/>
                <w:b w:val="0"/>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1.4.4</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Требование об отсутствии сведений об участнике закупки в реестре недобросовестных поставщиков</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52"/>
              <w:ind w:left="0"/>
              <w:jc w:val="both"/>
              <w:spacing w:after="120"/>
              <w:widowControl w:val="off"/>
              <w:rPr>
                <w:sz w:val="20"/>
                <w:szCs w:val="20"/>
              </w:rPr>
            </w:pPr>
            <w:r>
              <w:rPr>
                <w:sz w:val="20"/>
                <w:szCs w:val="20"/>
              </w:rPr>
              <w:t xml:space="preserve">Установлено.</w:t>
            </w:r>
            <w:r>
              <w:rPr>
                <w:sz w:val="20"/>
                <w:szCs w:val="20"/>
              </w:rPr>
            </w:r>
          </w:p>
          <w:p>
            <w:pPr>
              <w:keepLines/>
              <w:spacing w:after="120"/>
              <w:widowControl w:val="off"/>
              <w:rPr>
                <w:sz w:val="20"/>
                <w:szCs w:val="20"/>
              </w:rPr>
            </w:pPr>
            <w:r>
              <w:rPr>
                <w:sz w:val="20"/>
                <w:szCs w:val="20"/>
              </w:rPr>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ind w:left="0"/>
              <w:keepLines/>
              <w:keepNext w:val="0"/>
              <w:spacing w:before="0" w:after="0"/>
              <w:widowControl w:val="off"/>
              <w:tabs>
                <w:tab w:val="left" w:pos="284" w:leader="none"/>
                <w:tab w:val="clear" w:pos="312" w:leader="none"/>
              </w:tabs>
              <w:rPr>
                <w:rFonts w:ascii="Times New Roman" w:hAnsi="Times New Roman" w:cs="Times New Roman"/>
                <w:sz w:val="20"/>
                <w:szCs w:val="20"/>
              </w:rPr>
            </w:pPr>
            <w:r>
              <w:rPr>
                <w:rFonts w:ascii="Times New Roman" w:hAnsi="Times New Roman" w:cs="Times New Roman"/>
                <w:b w:val="0"/>
                <w:bCs w:val="0"/>
                <w:sz w:val="20"/>
                <w:szCs w:val="20"/>
              </w:rPr>
              <w:t xml:space="preserve">12.</w:t>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18"/>
                <w:szCs w:val="18"/>
              </w:rPr>
            </w:pPr>
            <w:r>
              <w:rPr>
                <w:sz w:val="18"/>
                <w:szCs w:val="18"/>
              </w:rPr>
              <w:t xml:space="preserve">3.4.1, 3.4.2</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Документы и сведения, </w:t>
            </w:r>
            <w:r>
              <w:rPr>
                <w:sz w:val="18"/>
                <w:szCs w:val="18"/>
              </w:rPr>
              <w:t xml:space="preserve">входящие в состав заявки на участие в закупке для подтверждения соответствия требованию, установленному в пункте 11 части </w:t>
            </w:r>
            <w:r>
              <w:rPr>
                <w:sz w:val="18"/>
                <w:szCs w:val="18"/>
                <w:lang w:val="en-US"/>
              </w:rPr>
              <w:t xml:space="preserve">II</w:t>
            </w:r>
            <w:r>
              <w:rPr>
                <w:sz w:val="18"/>
                <w:szCs w:val="18"/>
              </w:rPr>
              <w:t xml:space="preserve"> «ИНФОРМАЦИОННАЯ КАРТА ЗАКУПКИ»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52"/>
              <w:ind w:left="0"/>
              <w:jc w:val="both"/>
              <w:spacing w:after="120"/>
              <w:widowControl w:val="off"/>
              <w:rPr>
                <w:sz w:val="20"/>
                <w:szCs w:val="20"/>
              </w:rPr>
            </w:pPr>
            <w:r>
              <w:rPr>
                <w:sz w:val="20"/>
                <w:szCs w:val="20"/>
              </w:rPr>
              <w:t xml:space="preserve">Не требуются</w:t>
            </w:r>
            <w:r>
              <w:rPr>
                <w:sz w:val="20"/>
                <w:szCs w:val="20"/>
              </w:rPr>
            </w:r>
          </w:p>
          <w:p>
            <w:pPr>
              <w:keepLines/>
              <w:spacing w:after="120"/>
              <w:widowControl w:val="off"/>
              <w:rPr>
                <w:bCs/>
                <w:color w:val="000000"/>
                <w:sz w:val="20"/>
                <w:szCs w:val="20"/>
              </w:rPr>
            </w:pPr>
            <w:r>
              <w:rPr>
                <w:sz w:val="20"/>
                <w:szCs w:val="20"/>
              </w:rPr>
              <w:t xml:space="preserve">Проверка соответствия установленному требованию осуществляется на основании открытых данных соответствующих реестров</w:t>
            </w:r>
            <w:r>
              <w:rPr>
                <w:bCs/>
                <w:color w:val="000000"/>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ind w:left="0"/>
              <w:keepNext w:val="0"/>
              <w:spacing w:before="0" w:after="0"/>
              <w:widowControl w:val="off"/>
              <w:tabs>
                <w:tab w:val="left" w:pos="284" w:leader="none"/>
                <w:tab w:val="clear" w:pos="312" w:leader="none"/>
              </w:tabs>
              <w:rPr>
                <w:rFonts w:ascii="Times New Roman" w:hAnsi="Times New Roman" w:cs="Times New Roman"/>
                <w:b w:val="0"/>
                <w:sz w:val="20"/>
                <w:szCs w:val="20"/>
              </w:rPr>
            </w:pPr>
            <w:r>
              <w:rPr>
                <w:rFonts w:ascii="Times New Roman" w:hAnsi="Times New Roman" w:cs="Times New Roman"/>
                <w:b w:val="0"/>
                <w:sz w:val="20"/>
                <w:szCs w:val="20"/>
              </w:rPr>
              <w:t xml:space="preserve">13.</w:t>
            </w:r>
            <w:r>
              <w:rPr>
                <w:rFonts w:ascii="Times New Roman" w:hAnsi="Times New Roman" w:cs="Times New Roman"/>
                <w:b w:val="0"/>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spacing w:after="0"/>
              <w:widowControl w:val="off"/>
              <w:rPr>
                <w:sz w:val="18"/>
                <w:szCs w:val="18"/>
              </w:rPr>
            </w:pPr>
            <w:r>
              <w:rPr>
                <w:sz w:val="18"/>
                <w:szCs w:val="18"/>
              </w:rPr>
              <w:t xml:space="preserve">2.2</w:t>
            </w:r>
            <w:r>
              <w:rPr>
                <w:sz w:val="18"/>
                <w:szCs w:val="18"/>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spacing w:after="0"/>
              <w:widowControl w:val="off"/>
              <w:rPr>
                <w:sz w:val="18"/>
                <w:szCs w:val="18"/>
              </w:rPr>
            </w:pPr>
            <w:r>
              <w:rPr>
                <w:sz w:val="18"/>
                <w:szCs w:val="18"/>
              </w:rPr>
              <w:t xml:space="preserve">Дата и время окончания срока предоставления участникам закупки разъяснений положений документации о закупке</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widowControl w:val="off"/>
              <w:rPr>
                <w:sz w:val="20"/>
                <w:szCs w:val="20"/>
              </w:rPr>
            </w:pPr>
            <w:r>
              <w:rPr>
                <w:sz w:val="20"/>
                <w:szCs w:val="20"/>
              </w:rPr>
              <w:t xml:space="preserve">В соответствии с п. 2.2.2.  части I «ОБЩИЕ УСЛОВИЯ ПРОВЕДЕНИЯ ЗАКУПКИ» документации</w:t>
            </w:r>
            <w:r>
              <w:rPr>
                <w:color w:val="1f497d"/>
                <w:sz w:val="20"/>
                <w:szCs w:val="20"/>
              </w:rPr>
              <w:t xml:space="preserve"> </w:t>
            </w:r>
            <w:r>
              <w:rPr>
                <w:sz w:val="20"/>
                <w:szCs w:val="20"/>
              </w:rPr>
              <w:t xml:space="preserve">о закупке</w:t>
            </w:r>
            <w:r>
              <w:rPr>
                <w:sz w:val="20"/>
                <w:szCs w:val="20"/>
              </w:rPr>
            </w:r>
          </w:p>
          <w:p>
            <w:pPr>
              <w:pStyle w:val="1352"/>
              <w:ind w:left="0"/>
              <w:jc w:val="both"/>
              <w:spacing w:after="120"/>
              <w:widowControl w:val="off"/>
              <w:rPr>
                <w:sz w:val="20"/>
                <w:szCs w:val="20"/>
              </w:rPr>
            </w:pPr>
            <w:r>
              <w:rPr>
                <w:sz w:val="20"/>
                <w:szCs w:val="20"/>
              </w:rPr>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keepLines/>
              <w:keepNext w:val="0"/>
              <w:spacing w:before="0" w:after="0"/>
              <w:widowControl w:val="off"/>
              <w:tabs>
                <w:tab w:val="left" w:pos="284" w:leader="none"/>
                <w:tab w:val="clear" w:pos="312" w:leader="none"/>
              </w:tabs>
              <w:rPr>
                <w:rFonts w:ascii="Times New Roman" w:hAnsi="Times New Roman" w:cs="Times New Roman"/>
                <w:b w:val="0"/>
                <w:sz w:val="20"/>
                <w:szCs w:val="20"/>
              </w:rPr>
            </w:pPr>
            <w:r/>
            <w:bookmarkStart w:id="739" w:name="_Ref166311076"/>
            <w:r/>
            <w:bookmarkEnd w:id="739"/>
            <w:r>
              <w:rPr>
                <w:rFonts w:ascii="Times New Roman" w:hAnsi="Times New Roman" w:cs="Times New Roman"/>
                <w:b w:val="0"/>
                <w:sz w:val="20"/>
                <w:szCs w:val="20"/>
              </w:rPr>
              <w:t xml:space="preserve">14.</w:t>
            </w:r>
            <w:r>
              <w:rPr>
                <w:rFonts w:ascii="Times New Roman" w:hAnsi="Times New Roman" w:cs="Times New Roman"/>
                <w:b w:val="0"/>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3.6</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widowControl w:val="off"/>
              <w:tabs>
                <w:tab w:val="left" w:pos="708" w:leader="none"/>
              </w:tabs>
              <w:rPr>
                <w:sz w:val="18"/>
                <w:szCs w:val="18"/>
              </w:rPr>
            </w:pPr>
            <w:r>
              <w:rPr>
                <w:sz w:val="18"/>
                <w:szCs w:val="18"/>
              </w:rPr>
              <w:t xml:space="preserve">Обеспечение заявок на участие в закупке</w:t>
            </w:r>
            <w:r>
              <w:rPr>
                <w:sz w:val="18"/>
                <w:szCs w:val="18"/>
              </w:rPr>
            </w:r>
          </w:p>
          <w:p>
            <w:pPr>
              <w:keepLines/>
              <w:spacing w:after="0"/>
              <w:widowControl w:val="off"/>
              <w:rPr>
                <w:sz w:val="18"/>
                <w:szCs w:val="18"/>
              </w:rPr>
            </w:pPr>
            <w:r>
              <w:rPr>
                <w:sz w:val="18"/>
                <w:szCs w:val="18"/>
              </w:rPr>
              <w:t xml:space="preserve">Размер обеспечения заявок на участие в закупке, срок и порядок внесения денежных сре</w:t>
            </w:r>
            <w:r>
              <w:rPr>
                <w:sz w:val="18"/>
                <w:szCs w:val="18"/>
              </w:rPr>
              <w:t xml:space="preserve">дств в к</w:t>
            </w:r>
            <w:r>
              <w:rPr>
                <w:sz w:val="18"/>
                <w:szCs w:val="18"/>
              </w:rPr>
              <w:t xml:space="preserve">ачестве обеспечения такой заявки, условия независимой гарантии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120"/>
              <w:widowControl w:val="off"/>
              <w:rPr>
                <w:sz w:val="20"/>
                <w:szCs w:val="20"/>
                <w:lang w:eastAsia="en-US"/>
              </w:rPr>
            </w:pPr>
            <w:r>
              <w:rPr>
                <w:sz w:val="20"/>
                <w:szCs w:val="20"/>
                <w:lang w:eastAsia="en-US"/>
              </w:rPr>
              <w:t xml:space="preserve">Обеспечение заявок на участие в закупке предусмотрено в размере 2% от начальной (максимальной) цены договора </w:t>
            </w:r>
            <w:r>
              <w:rPr>
                <w:sz w:val="20"/>
                <w:szCs w:val="20"/>
                <w:lang w:val="en-US" w:eastAsia="en-US"/>
              </w:rPr>
              <w:t xml:space="preserve">c</w:t>
            </w:r>
            <w:r>
              <w:rPr>
                <w:sz w:val="20"/>
                <w:szCs w:val="20"/>
                <w:lang w:eastAsia="en-US"/>
              </w:rPr>
              <w:t xml:space="preserve"> НДС.</w:t>
            </w:r>
            <w:r>
              <w:rPr>
                <w:sz w:val="20"/>
                <w:szCs w:val="20"/>
                <w:lang w:eastAsia="en-US"/>
              </w:rPr>
            </w:r>
          </w:p>
          <w:p>
            <w:pPr>
              <w:spacing w:after="120"/>
              <w:widowControl w:val="off"/>
              <w:rPr>
                <w:sz w:val="20"/>
                <w:szCs w:val="20"/>
                <w:lang w:eastAsia="en-US"/>
              </w:rPr>
            </w:pPr>
            <w:r>
              <w:rPr>
                <w:sz w:val="20"/>
                <w:szCs w:val="20"/>
                <w:lang w:eastAsia="en-US"/>
              </w:rPr>
              <w:t xml:space="preserve">Срок предоставления обеспечения заявки на участие в закупке: не позднее даты и времени окончания срока подачи заявок на участие в закупке, установленные в п. 8 части </w:t>
            </w:r>
            <w:r>
              <w:rPr>
                <w:sz w:val="20"/>
                <w:szCs w:val="20"/>
                <w:lang w:val="en-US" w:eastAsia="en-US"/>
              </w:rPr>
              <w:t xml:space="preserve">II</w:t>
            </w:r>
            <w:r>
              <w:rPr>
                <w:sz w:val="20"/>
                <w:szCs w:val="20"/>
                <w:lang w:eastAsia="en-US"/>
              </w:rPr>
              <w:t xml:space="preserve"> «ИНФОРМАЦИОННАЯ КАРТА ЗАКУПКИ».</w:t>
            </w:r>
            <w:r>
              <w:rPr>
                <w:sz w:val="20"/>
                <w:szCs w:val="20"/>
                <w:lang w:eastAsia="en-US"/>
              </w:rPr>
            </w:r>
          </w:p>
          <w:p>
            <w:pPr>
              <w:keepLines/>
              <w:spacing w:after="120"/>
              <w:widowControl w:val="off"/>
              <w:rPr>
                <w:sz w:val="20"/>
                <w:szCs w:val="20"/>
              </w:rPr>
            </w:pPr>
            <w:r>
              <w:rPr>
                <w:iCs/>
                <w:sz w:val="20"/>
                <w:szCs w:val="20"/>
                <w:lang w:eastAsia="en-US"/>
              </w:rPr>
              <w:t xml:space="preserve">Порядок внесения денежных средств и </w:t>
            </w:r>
            <w:r>
              <w:rPr>
                <w:sz w:val="20"/>
                <w:szCs w:val="20"/>
                <w:lang w:eastAsia="en-US"/>
              </w:rPr>
              <w:t xml:space="preserve">условия независимой гарантии, а также срок и случаи возврата обеспечения заявок установлены в разделе 3 части I «ОБЩИЕ УСЛОВИЯ ПРОВЕДЕНИЯ ЗАКУПКИ».</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352"/>
              <w:numPr>
                <w:ilvl w:val="0"/>
                <w:numId w:val="8"/>
              </w:numPr>
              <w:ind w:left="0" w:firstLine="0"/>
              <w:jc w:val="both"/>
              <w:widowControl w:val="off"/>
              <w:tabs>
                <w:tab w:val="left" w:pos="284" w:leader="none"/>
              </w:tabs>
              <w:rPr>
                <w:b/>
                <w:bCs/>
                <w:vanish/>
                <w:sz w:val="20"/>
                <w:szCs w:val="20"/>
              </w:rPr>
              <w:outlineLvl w:val="2"/>
            </w:pPr>
            <w:r>
              <w:rPr>
                <w:b/>
                <w:bCs/>
                <w:vanish/>
                <w:sz w:val="20"/>
                <w:szCs w:val="20"/>
              </w:rPr>
            </w:r>
            <w:r>
              <w:rPr>
                <w:b/>
                <w:bCs/>
                <w:vanish/>
                <w:sz w:val="20"/>
                <w:szCs w:val="20"/>
              </w:rPr>
            </w:r>
          </w:p>
          <w:p>
            <w:pPr>
              <w:pStyle w:val="1352"/>
              <w:numPr>
                <w:ilvl w:val="0"/>
                <w:numId w:val="8"/>
              </w:numPr>
              <w:ind w:left="0" w:firstLine="0"/>
              <w:jc w:val="both"/>
              <w:widowControl w:val="off"/>
              <w:tabs>
                <w:tab w:val="left" w:pos="284" w:leader="none"/>
              </w:tabs>
              <w:rPr>
                <w:b/>
                <w:bCs/>
                <w:vanish/>
                <w:sz w:val="20"/>
                <w:szCs w:val="20"/>
              </w:rPr>
              <w:outlineLvl w:val="2"/>
            </w:pPr>
            <w:r>
              <w:rPr>
                <w:b/>
                <w:bCs/>
                <w:vanish/>
                <w:sz w:val="20"/>
                <w:szCs w:val="20"/>
              </w:rPr>
            </w:r>
            <w:r>
              <w:rPr>
                <w:b/>
                <w:bCs/>
                <w:vanish/>
                <w:sz w:val="20"/>
                <w:szCs w:val="20"/>
              </w:rPr>
            </w:r>
          </w:p>
          <w:p>
            <w:pPr>
              <w:pStyle w:val="1352"/>
              <w:numPr>
                <w:ilvl w:val="0"/>
                <w:numId w:val="8"/>
              </w:numPr>
              <w:ind w:left="0" w:firstLine="0"/>
              <w:jc w:val="both"/>
              <w:widowControl w:val="off"/>
              <w:tabs>
                <w:tab w:val="left" w:pos="284" w:leader="none"/>
              </w:tabs>
              <w:rPr>
                <w:b/>
                <w:bCs/>
                <w:vanish/>
                <w:sz w:val="20"/>
                <w:szCs w:val="20"/>
              </w:rPr>
              <w:outlineLvl w:val="2"/>
            </w:pPr>
            <w:r>
              <w:rPr>
                <w:b/>
                <w:bCs/>
                <w:vanish/>
                <w:sz w:val="20"/>
                <w:szCs w:val="20"/>
              </w:rPr>
            </w:r>
            <w:r>
              <w:rPr>
                <w:b/>
                <w:bCs/>
                <w:vanish/>
                <w:sz w:val="20"/>
                <w:szCs w:val="20"/>
              </w:rPr>
            </w:r>
          </w:p>
          <w:p>
            <w:pPr>
              <w:pStyle w:val="1352"/>
              <w:numPr>
                <w:ilvl w:val="0"/>
                <w:numId w:val="8"/>
              </w:numPr>
              <w:ind w:left="0" w:firstLine="0"/>
              <w:jc w:val="both"/>
              <w:widowControl w:val="off"/>
              <w:tabs>
                <w:tab w:val="left" w:pos="284" w:leader="none"/>
              </w:tabs>
              <w:rPr>
                <w:b/>
                <w:bCs/>
                <w:vanish/>
                <w:sz w:val="20"/>
                <w:szCs w:val="20"/>
              </w:rPr>
              <w:outlineLvl w:val="2"/>
            </w:pPr>
            <w:r>
              <w:rPr>
                <w:b/>
                <w:bCs/>
                <w:vanish/>
                <w:sz w:val="20"/>
                <w:szCs w:val="20"/>
              </w:rPr>
            </w:r>
            <w:r>
              <w:rPr>
                <w:b/>
                <w:bCs/>
                <w:vanish/>
                <w:sz w:val="20"/>
                <w:szCs w:val="20"/>
              </w:rPr>
            </w:r>
          </w:p>
          <w:p>
            <w:pPr>
              <w:pStyle w:val="1118"/>
              <w:numPr>
                <w:ilvl w:val="0"/>
                <w:numId w:val="8"/>
              </w:numPr>
              <w:ind w:left="0" w:firstLine="0"/>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spacing w:after="0"/>
              <w:widowControl w:val="off"/>
              <w:rPr>
                <w:sz w:val="20"/>
                <w:szCs w:val="20"/>
              </w:rPr>
            </w:pPr>
            <w:r>
              <w:rPr>
                <w:sz w:val="20"/>
                <w:szCs w:val="20"/>
              </w:rPr>
              <w:t xml:space="preserve">3.6.6</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spacing w:after="0"/>
              <w:widowControl w:val="off"/>
              <w:rPr>
                <w:sz w:val="18"/>
                <w:szCs w:val="18"/>
              </w:rPr>
            </w:pPr>
            <w:r>
              <w:rPr>
                <w:sz w:val="18"/>
                <w:szCs w:val="18"/>
              </w:rPr>
              <w:t xml:space="preserve">Счет Заказчика для перечисления денежных средств, внесенных в качестве обеспечения заявки, в случаях, установленных п. 3.6.5 документации о закупке</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120"/>
              <w:widowControl w:val="off"/>
              <w:rPr>
                <w:b/>
                <w:color w:val="ff0000"/>
                <w:sz w:val="18"/>
                <w:szCs w:val="18"/>
              </w:rPr>
            </w:pPr>
            <w:r>
              <w:rPr>
                <w:b/>
                <w:color w:val="ff0000"/>
                <w:sz w:val="18"/>
                <w:szCs w:val="18"/>
              </w:rPr>
              <w:t xml:space="preserve">НЕ ДЛЯ ПЕРЕЧИСЛЕНИЯ ОБЕСПЕЧИТЕЛЬНОГО ПЛАТЕЖА</w:t>
            </w:r>
            <w:r>
              <w:rPr>
                <w:b/>
                <w:color w:val="ff0000"/>
                <w:sz w:val="18"/>
                <w:szCs w:val="18"/>
              </w:rPr>
            </w:r>
          </w:p>
          <w:p>
            <w:pPr>
              <w:spacing w:after="120"/>
              <w:widowControl w:val="off"/>
              <w:rPr>
                <w:sz w:val="20"/>
                <w:szCs w:val="20"/>
              </w:rPr>
            </w:pPr>
            <w:r>
              <w:rPr>
                <w:sz w:val="20"/>
                <w:szCs w:val="20"/>
              </w:rPr>
              <w:t xml:space="preserve">Реквизиты счета:</w:t>
            </w:r>
            <w:r>
              <w:rPr>
                <w:sz w:val="20"/>
                <w:szCs w:val="20"/>
              </w:rPr>
            </w:r>
          </w:p>
          <w:p>
            <w:pPr>
              <w:jc w:val="left"/>
              <w:keepLines/>
              <w:spacing w:after="0"/>
              <w:widowControl w:val="off"/>
              <w:rPr>
                <w:sz w:val="20"/>
                <w:szCs w:val="20"/>
              </w:rPr>
            </w:pPr>
            <w:r>
              <w:rPr>
                <w:sz w:val="20"/>
                <w:szCs w:val="20"/>
              </w:rPr>
              <w:t xml:space="preserve">Акционерное общество «</w:t>
            </w:r>
            <w:r>
              <w:rPr>
                <w:sz w:val="20"/>
                <w:szCs w:val="20"/>
              </w:rPr>
              <w:t xml:space="preserve">Россети</w:t>
            </w:r>
            <w:r>
              <w:rPr>
                <w:sz w:val="20"/>
                <w:szCs w:val="20"/>
              </w:rPr>
              <w:t xml:space="preserve"> Цифра»</w:t>
            </w:r>
            <w:r>
              <w:rPr>
                <w:sz w:val="20"/>
                <w:szCs w:val="20"/>
              </w:rPr>
            </w:r>
          </w:p>
          <w:p>
            <w:pPr>
              <w:jc w:val="left"/>
              <w:keepLines/>
              <w:spacing w:after="0"/>
              <w:widowControl w:val="off"/>
              <w:rPr>
                <w:sz w:val="20"/>
                <w:szCs w:val="20"/>
              </w:rPr>
            </w:pPr>
            <w:r>
              <w:rPr>
                <w:sz w:val="20"/>
                <w:szCs w:val="20"/>
              </w:rPr>
              <w:t xml:space="preserve">ИНН 7705307770 КПП 771901001</w:t>
            </w:r>
            <w:r>
              <w:rPr>
                <w:sz w:val="20"/>
                <w:szCs w:val="20"/>
              </w:rPr>
            </w:r>
          </w:p>
          <w:p>
            <w:pPr>
              <w:jc w:val="left"/>
              <w:keepLines/>
              <w:spacing w:after="0"/>
              <w:widowControl w:val="off"/>
              <w:rPr>
                <w:sz w:val="20"/>
                <w:szCs w:val="20"/>
              </w:rPr>
            </w:pPr>
            <w:r>
              <w:rPr>
                <w:sz w:val="20"/>
                <w:szCs w:val="20"/>
              </w:rPr>
              <w:t xml:space="preserve">р</w:t>
            </w:r>
            <w:r>
              <w:rPr>
                <w:sz w:val="20"/>
                <w:szCs w:val="20"/>
              </w:rPr>
              <w:t xml:space="preserve">/</w:t>
            </w:r>
            <w:r>
              <w:rPr>
                <w:sz w:val="20"/>
                <w:szCs w:val="20"/>
              </w:rPr>
              <w:t xml:space="preserve">сч</w:t>
            </w:r>
            <w:r>
              <w:rPr>
                <w:sz w:val="20"/>
                <w:szCs w:val="20"/>
              </w:rPr>
              <w:t xml:space="preserve"> №40702810438170015552</w:t>
            </w:r>
            <w:r>
              <w:rPr>
                <w:sz w:val="20"/>
                <w:szCs w:val="20"/>
              </w:rPr>
            </w:r>
          </w:p>
          <w:p>
            <w:pPr>
              <w:jc w:val="left"/>
              <w:keepLines/>
              <w:spacing w:after="0"/>
              <w:widowControl w:val="off"/>
              <w:rPr>
                <w:sz w:val="20"/>
                <w:szCs w:val="20"/>
              </w:rPr>
            </w:pPr>
            <w:r>
              <w:rPr>
                <w:sz w:val="20"/>
                <w:szCs w:val="20"/>
              </w:rPr>
              <w:t xml:space="preserve">в ПАО «Сбербанк» г. Москва</w:t>
            </w:r>
            <w:r>
              <w:rPr>
                <w:sz w:val="20"/>
                <w:szCs w:val="20"/>
              </w:rPr>
            </w:r>
          </w:p>
          <w:p>
            <w:pPr>
              <w:jc w:val="left"/>
              <w:keepLines/>
              <w:spacing w:after="0"/>
              <w:widowControl w:val="off"/>
              <w:rPr>
                <w:sz w:val="20"/>
                <w:szCs w:val="20"/>
              </w:rPr>
            </w:pPr>
            <w:r>
              <w:rPr>
                <w:sz w:val="20"/>
                <w:szCs w:val="20"/>
              </w:rPr>
              <w:t xml:space="preserve">БИК 044525225</w:t>
            </w:r>
            <w:r>
              <w:rPr>
                <w:sz w:val="20"/>
                <w:szCs w:val="20"/>
              </w:rPr>
            </w:r>
          </w:p>
          <w:p>
            <w:pPr>
              <w:spacing w:after="120"/>
              <w:widowControl w:val="off"/>
              <w:rPr>
                <w:sz w:val="18"/>
                <w:szCs w:val="18"/>
              </w:rPr>
            </w:pPr>
            <w:r>
              <w:rPr>
                <w:sz w:val="20"/>
                <w:szCs w:val="20"/>
              </w:rPr>
              <w:t xml:space="preserve">к/</w:t>
            </w:r>
            <w:r>
              <w:rPr>
                <w:sz w:val="20"/>
                <w:szCs w:val="20"/>
              </w:rPr>
              <w:t xml:space="preserve">сч</w:t>
            </w:r>
            <w:r>
              <w:rPr>
                <w:sz w:val="20"/>
                <w:szCs w:val="20"/>
              </w:rPr>
              <w:t xml:space="preserve"> 30101810400000000225</w:t>
            </w:r>
            <w:r>
              <w:rPr>
                <w:sz w:val="18"/>
                <w:szCs w:val="18"/>
              </w:rPr>
            </w:r>
          </w:p>
          <w:p>
            <w:pPr>
              <w:spacing w:after="120"/>
              <w:widowControl w:val="off"/>
              <w:rPr>
                <w:sz w:val="18"/>
                <w:szCs w:val="18"/>
              </w:rPr>
            </w:pPr>
            <w:r>
              <w:rPr>
                <w:color w:val="ff0000"/>
                <w:sz w:val="18"/>
                <w:szCs w:val="18"/>
              </w:rPr>
              <w:t xml:space="preserve">НА УКАЗАННЫЙ СЧЕТ ДЕНЕЖНЫЕ СРЕДСТВА ПЕРЕЧИСЛЯЮТСЯ В СЛУЧАЯХ УКЛОНЕНИЯ ИЛИ ОТКАЗА УЧАСТНИКА, ПРИЗНАННОГО ПОБЕДИТЕЛЯМ (ИЛИ ЕДИНСТВЕННОГО УЧАСТНИКА ЗАКУПКИ, С КОТОРЫМ ПРИНЯТО РЕШЕНИЕ О ЗАКЛЮЧЕНИИ ДОГОВОРА) ОТ ЗАКЛЮЧЕНИЯ ДОГОВОРА</w:t>
            </w:r>
            <w:r>
              <w:rPr>
                <w:sz w:val="18"/>
                <w:szCs w:val="18"/>
              </w:rPr>
            </w:r>
          </w:p>
        </w:tc>
      </w:tr>
      <w:tr>
        <w:tblPrEx/>
        <w:trPr>
          <w:jc w:val="center"/>
          <w:trHeight w:val="570"/>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40" w:name="_Ref166312503"/>
            <w:r/>
            <w:bookmarkEnd w:id="740"/>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bookmarkStart w:id="741" w:name="_Ref166381471"/>
            <w:r>
              <w:rPr>
                <w:sz w:val="20"/>
                <w:szCs w:val="20"/>
              </w:rPr>
              <w:t xml:space="preserve">8.2, 8.3</w:t>
            </w:r>
            <w:bookmarkEnd w:id="741"/>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widowControl w:val="off"/>
              <w:tabs>
                <w:tab w:val="left" w:pos="708" w:leader="none"/>
              </w:tabs>
              <w:rPr>
                <w:sz w:val="18"/>
                <w:szCs w:val="18"/>
              </w:rPr>
            </w:pPr>
            <w:r>
              <w:rPr>
                <w:sz w:val="18"/>
                <w:szCs w:val="18"/>
              </w:rPr>
              <w:t xml:space="preserve">Обеспечение исполнения договора</w:t>
            </w:r>
            <w:r>
              <w:rPr>
                <w:sz w:val="18"/>
                <w:szCs w:val="18"/>
              </w:rPr>
            </w:r>
          </w:p>
          <w:p>
            <w:pPr>
              <w:keepLines/>
              <w:spacing w:after="0"/>
              <w:widowControl w:val="off"/>
              <w:rPr>
                <w:sz w:val="18"/>
                <w:szCs w:val="18"/>
              </w:rPr>
            </w:pPr>
            <w:r>
              <w:rPr>
                <w:sz w:val="18"/>
                <w:szCs w:val="18"/>
              </w:rPr>
              <w:t xml:space="preserve">Размер обеспечения исполнения договора в закупке, срок и порядок внесения денежных сре</w:t>
            </w:r>
            <w:r>
              <w:rPr>
                <w:sz w:val="18"/>
                <w:szCs w:val="18"/>
              </w:rPr>
              <w:t xml:space="preserve">дств в к</w:t>
            </w:r>
            <w:r>
              <w:rPr>
                <w:sz w:val="18"/>
                <w:szCs w:val="18"/>
              </w:rPr>
              <w:t xml:space="preserve">ачестве обеспечения такой заявки, условия независимой гарантии.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spacing w:after="120"/>
              <w:tabs>
                <w:tab w:val="left" w:pos="1276" w:leader="none"/>
                <w:tab w:val="left" w:pos="1560" w:leader="none"/>
                <w:tab w:val="left" w:pos="9639" w:leader="none"/>
              </w:tabs>
              <w:rPr>
                <w:sz w:val="20"/>
                <w:szCs w:val="20"/>
                <w:lang w:eastAsia="en-US"/>
              </w:rPr>
            </w:pPr>
            <w:r>
              <w:rPr>
                <w:sz w:val="20"/>
                <w:szCs w:val="20"/>
                <w:lang w:eastAsia="en-US"/>
              </w:rPr>
              <w:t xml:space="preserve">Обеспечение исполнения обязательств по договору предусмотрено</w:t>
            </w:r>
            <w:r>
              <w:rPr>
                <w:sz w:val="20"/>
                <w:szCs w:val="20"/>
                <w:lang w:eastAsia="en-US"/>
              </w:rPr>
            </w:r>
          </w:p>
          <w:p>
            <w:pPr>
              <w:spacing w:after="120"/>
              <w:tabs>
                <w:tab w:val="left" w:pos="1276" w:leader="none"/>
                <w:tab w:val="left" w:pos="1560" w:leader="none"/>
                <w:tab w:val="left" w:pos="9639" w:leader="none"/>
              </w:tabs>
              <w:rPr>
                <w:sz w:val="20"/>
                <w:szCs w:val="20"/>
                <w:lang w:eastAsia="en-US"/>
              </w:rPr>
            </w:pPr>
            <w:r>
              <w:rPr>
                <w:sz w:val="20"/>
                <w:szCs w:val="20"/>
                <w:lang w:eastAsia="en-US"/>
              </w:rPr>
              <w:t xml:space="preserve">Подробные условия обеспечения исполнения обязательств по Договору указаны в разделе </w:t>
            </w:r>
            <w:r>
              <w:rPr>
                <w:sz w:val="20"/>
                <w:szCs w:val="20"/>
                <w:lang w:eastAsia="en-US"/>
              </w:rPr>
              <w:t xml:space="preserve">7</w:t>
            </w:r>
            <w:r>
              <w:rPr>
                <w:sz w:val="20"/>
                <w:szCs w:val="20"/>
                <w:lang w:eastAsia="en-US"/>
              </w:rPr>
              <w:t xml:space="preserve"> части IV «Проект договора» настоящей документации о закупке</w:t>
            </w:r>
            <w:r>
              <w:rPr>
                <w:sz w:val="20"/>
                <w:szCs w:val="20"/>
                <w:lang w:eastAsia="en-US"/>
              </w:rPr>
            </w:r>
          </w:p>
          <w:p>
            <w:pPr>
              <w:spacing w:after="120"/>
              <w:tabs>
                <w:tab w:val="left" w:pos="1276" w:leader="none"/>
                <w:tab w:val="left" w:pos="1560" w:leader="none"/>
                <w:tab w:val="left" w:pos="9639" w:leader="none"/>
              </w:tabs>
              <w:rPr>
                <w:sz w:val="20"/>
                <w:szCs w:val="20"/>
                <w:lang w:eastAsia="en-US"/>
              </w:rPr>
            </w:pPr>
            <w:r>
              <w:rPr>
                <w:sz w:val="20"/>
                <w:szCs w:val="20"/>
                <w:lang w:eastAsia="en-US"/>
              </w:rPr>
              <w:t xml:space="preserve">Выбор способа обеспечения исполнения Подрядчиком обязательств по Договору осуществляется Победителем самостоятельно.</w:t>
            </w:r>
            <w:r>
              <w:rPr>
                <w:sz w:val="20"/>
                <w:szCs w:val="20"/>
                <w:lang w:eastAsia="en-US"/>
              </w:rPr>
            </w:r>
          </w:p>
          <w:p>
            <w:pPr>
              <w:spacing w:after="120"/>
              <w:tabs>
                <w:tab w:val="left" w:pos="1276" w:leader="none"/>
                <w:tab w:val="left" w:pos="1560" w:leader="none"/>
                <w:tab w:val="left" w:pos="9639" w:leader="none"/>
              </w:tabs>
              <w:rPr>
                <w:sz w:val="20"/>
                <w:szCs w:val="20"/>
                <w:lang w:eastAsia="en-US"/>
              </w:rPr>
            </w:pPr>
            <w:r>
              <w:rPr>
                <w:sz w:val="20"/>
                <w:szCs w:val="20"/>
                <w:lang w:eastAsia="en-US"/>
              </w:rPr>
              <w:t xml:space="preserve">Порядок внесения денежных средств и условия независимой гарантии установлены в разделе 8 части I «ОБЩИЕ УСЛОВИЯ ПРОВЕДЕНИЯ ЗАКУПКИ».</w:t>
            </w:r>
            <w:r>
              <w:rPr>
                <w:sz w:val="20"/>
                <w:szCs w:val="20"/>
                <w:lang w:eastAsia="en-US"/>
              </w:rPr>
            </w:r>
          </w:p>
          <w:p>
            <w:pPr>
              <w:keepLines/>
              <w:spacing w:after="120"/>
              <w:widowControl w:val="off"/>
              <w:rPr>
                <w:sz w:val="20"/>
                <w:szCs w:val="20"/>
                <w:lang w:eastAsia="en-US"/>
              </w:rPr>
            </w:pPr>
            <w:r>
              <w:rPr>
                <w:sz w:val="20"/>
                <w:szCs w:val="20"/>
                <w:lang w:eastAsia="en-US"/>
              </w:rPr>
              <w:t xml:space="preserve">В случае</w:t>
            </w:r>
            <w:r>
              <w:rPr>
                <w:sz w:val="20"/>
                <w:szCs w:val="20"/>
                <w:lang w:eastAsia="en-US"/>
              </w:rPr>
              <w:t xml:space="preserve">,</w:t>
            </w:r>
            <w:r>
              <w:rPr>
                <w:sz w:val="20"/>
                <w:szCs w:val="20"/>
                <w:lang w:eastAsia="en-US"/>
              </w:rPr>
              <w:t xml:space="preserve"> если при проведении заку</w:t>
            </w:r>
            <w:bookmarkStart w:id="742" w:name="_GoBack"/>
            <w:r/>
            <w:bookmarkEnd w:id="742"/>
            <w:r>
              <w:rPr>
                <w:sz w:val="20"/>
                <w:szCs w:val="20"/>
                <w:lang w:eastAsia="en-US"/>
              </w:rPr>
              <w:t xml:space="preserve">пки победителем (либо единственным участником, признанным соответствующим требованиям извещения и/или документации о закупке) </w:t>
            </w:r>
            <w:r>
              <w:rPr>
                <w:sz w:val="20"/>
                <w:szCs w:val="20"/>
                <w:lang w:eastAsia="en-US"/>
              </w:rPr>
              <w:t xml:space="preserve">признается участник, предложивший аномально низкое ценовое предложение, таким участником предоставляется обеспечение исполнения договора в размере, указанном в п. 8</w:t>
            </w:r>
            <w:r>
              <w:rPr>
                <w:sz w:val="20"/>
                <w:szCs w:val="20"/>
                <w:lang w:eastAsia="en-US"/>
              </w:rPr>
              <w:t xml:space="preserve">.3</w:t>
            </w:r>
            <w:r>
              <w:rPr>
                <w:sz w:val="20"/>
                <w:szCs w:val="20"/>
                <w:lang w:eastAsia="en-US"/>
              </w:rPr>
              <w:t xml:space="preserve">.2. Части I «ОБЩИЕ УСЛОВИЯ ПРОВЕДЕНИЯ ЗАКУПКИ» настоящей документации о закупке</w:t>
            </w:r>
            <w:r>
              <w:rPr>
                <w:sz w:val="20"/>
                <w:szCs w:val="20"/>
                <w:lang w:eastAsia="en-US"/>
              </w:rPr>
            </w:r>
          </w:p>
        </w:tc>
      </w:tr>
      <w:tr>
        <w:tblPrEx/>
        <w:trPr>
          <w:jc w:val="center"/>
          <w:trHeight w:val="1867"/>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43" w:name="_Ref166313061"/>
            <w:r/>
            <w:bookmarkStart w:id="744" w:name="_Ref354440864"/>
            <w:r/>
            <w:bookmarkEnd w:id="743"/>
            <w:r/>
            <w:bookmarkEnd w:id="744"/>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8.2.2</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widowControl w:val="off"/>
              <w:rPr>
                <w:sz w:val="18"/>
                <w:szCs w:val="18"/>
              </w:rPr>
            </w:pPr>
            <w:r>
              <w:rPr>
                <w:sz w:val="18"/>
                <w:szCs w:val="18"/>
              </w:rPr>
              <w:t xml:space="preserve">Реквизиты счета для внесения обеспечения исполнения договора (в случае если участник закупки выбрал обеспечение исполнения договора в виде обеспечения денежных средств)</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rPr>
                <w:sz w:val="20"/>
                <w:szCs w:val="20"/>
                <w:lang w:eastAsia="en-US"/>
              </w:rPr>
            </w:pPr>
            <w:r>
              <w:rPr>
                <w:sz w:val="20"/>
                <w:szCs w:val="20"/>
                <w:lang w:eastAsia="en-US"/>
              </w:rPr>
              <w:t xml:space="preserve">Реквизиты счета для внесения обеспечения исполнения договора предоставляются Заказчиком в момент направления проекта договора для подписания Участником, признанным Победителем.</w:t>
            </w:r>
            <w:r>
              <w:rPr>
                <w:sz w:val="20"/>
                <w:szCs w:val="20"/>
                <w:lang w:eastAsia="en-US"/>
              </w:rPr>
            </w:r>
          </w:p>
        </w:tc>
      </w:tr>
      <w:tr>
        <w:tblPrEx/>
        <w:trPr>
          <w:jc w:val="center"/>
          <w:trHeight w:val="1086"/>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45" w:name="_Ref354428632"/>
            <w:r/>
            <w:bookmarkStart w:id="746" w:name="_Ref166313235"/>
            <w:r/>
            <w:bookmarkEnd w:id="745"/>
            <w:r/>
            <w:bookmarkEnd w:id="746"/>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tabs>
                <w:tab w:val="left" w:pos="312" w:leader="none"/>
              </w:tabs>
              <w:rPr>
                <w:sz w:val="20"/>
                <w:szCs w:val="20"/>
              </w:rPr>
              <w:outlineLvl w:val="2"/>
            </w:pPr>
            <w:r>
              <w:rPr>
                <w:sz w:val="20"/>
                <w:szCs w:val="20"/>
              </w:rPr>
              <w:t xml:space="preserve">7.3</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Критерии и порядок оценки и сопоставления заявок на участие в закупке</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rPr>
                <w:sz w:val="20"/>
                <w:szCs w:val="20"/>
              </w:rPr>
            </w:pPr>
            <w:r>
              <w:rPr>
                <w:sz w:val="20"/>
                <w:szCs w:val="20"/>
              </w:rP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приложении № 1 к части II «ИНФОРМАЦИОННАЯ КАРТА ЗАКУПКИ»</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bookmarkStart w:id="747" w:name="_Ref354134594"/>
            <w:r/>
            <w:bookmarkStart w:id="748" w:name="_Ref166315600"/>
            <w:r/>
            <w:bookmarkEnd w:id="747"/>
            <w:r/>
            <w:bookmarkEnd w:id="748"/>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8.1.2</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rPr>
                <w:sz w:val="18"/>
                <w:szCs w:val="18"/>
              </w:rPr>
              <w:t xml:space="preserve">Право заказчика заключить договор с несколькими участниками закупки</w:t>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rPr>
                <w:i/>
                <w:sz w:val="20"/>
                <w:szCs w:val="20"/>
              </w:rPr>
            </w:pPr>
            <w:r>
              <w:rPr>
                <w:sz w:val="20"/>
                <w:szCs w:val="20"/>
              </w:rPr>
              <w:t xml:space="preserve">Не предусмотрено</w:t>
            </w:r>
            <w:r>
              <w:rPr>
                <w:i/>
                <w:sz w:val="20"/>
                <w:szCs w:val="20"/>
              </w:rPr>
            </w:r>
          </w:p>
          <w:p>
            <w:pPr>
              <w:pStyle w:val="1352"/>
              <w:ind w:left="0"/>
              <w:jc w:val="both"/>
              <w:keepLines/>
              <w:spacing w:after="120"/>
              <w:widowControl w:val="off"/>
              <w:rPr>
                <w:sz w:val="20"/>
                <w:szCs w:val="20"/>
              </w:rPr>
            </w:pPr>
            <w:r>
              <w:rPr>
                <w:sz w:val="20"/>
                <w:szCs w:val="20"/>
              </w:rPr>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Lines/>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keepLines/>
              <w:spacing w:after="0"/>
              <w:widowControl w:val="off"/>
              <w:rPr>
                <w:sz w:val="20"/>
                <w:szCs w:val="20"/>
              </w:rPr>
            </w:pPr>
            <w:r>
              <w:rPr>
                <w:sz w:val="20"/>
                <w:szCs w:val="20"/>
              </w:rPr>
              <w:t xml:space="preserve">8.3.5</w:t>
            </w:r>
            <w:r>
              <w:rPr>
                <w:sz w:val="20"/>
                <w:szCs w:val="20"/>
              </w:rPr>
            </w:r>
          </w:p>
        </w:tc>
        <w:tc>
          <w:tcPr>
            <w:tcBorders>
              <w:top w:val="single" w:color="000000" w:sz="4" w:space="0"/>
              <w:left w:val="single" w:color="000000" w:sz="4" w:space="0"/>
              <w:bottom w:val="single" w:color="000000" w:sz="4" w:space="0"/>
              <w:right w:val="single" w:color="000000" w:sz="4" w:space="0"/>
            </w:tcBorders>
            <w:tcW w:w="2140" w:type="dxa"/>
            <w:textDirection w:val="lrTb"/>
            <w:noWrap w:val="false"/>
          </w:tcPr>
          <w:p>
            <w:pPr>
              <w:keepLines/>
              <w:spacing w:after="0"/>
              <w:widowControl w:val="off"/>
              <w:rPr>
                <w:sz w:val="18"/>
                <w:szCs w:val="18"/>
              </w:rPr>
            </w:pPr>
            <w:r/>
            <w:bookmarkStart w:id="749" w:name="_Toc354408457"/>
            <w:r>
              <w:rPr>
                <w:sz w:val="18"/>
                <w:szCs w:val="18"/>
              </w:rPr>
              <w:t xml:space="preserve">Сведения о возможности одностороннего отказа от исполнения обязательств, предусмотренных договором</w:t>
            </w:r>
            <w:bookmarkEnd w:id="749"/>
            <w:r/>
            <w:r>
              <w:rPr>
                <w:sz w:val="18"/>
                <w:szCs w:val="18"/>
              </w:rPr>
            </w:r>
          </w:p>
        </w:tc>
        <w:tc>
          <w:tcPr>
            <w:tcBorders>
              <w:top w:val="single" w:color="000000" w:sz="4" w:space="0"/>
              <w:left w:val="single" w:color="000000" w:sz="4" w:space="0"/>
              <w:bottom w:val="single" w:color="000000" w:sz="4" w:space="0"/>
              <w:right w:val="single" w:color="000000" w:sz="4" w:space="0"/>
            </w:tcBorders>
            <w:tcW w:w="5891" w:type="dxa"/>
            <w:textDirection w:val="lrTb"/>
            <w:noWrap w:val="false"/>
          </w:tcPr>
          <w:p>
            <w:pPr>
              <w:keepLines/>
              <w:spacing w:after="120"/>
              <w:widowControl w:val="off"/>
              <w:rPr>
                <w:i/>
                <w:sz w:val="20"/>
                <w:szCs w:val="20"/>
              </w:rPr>
            </w:pPr>
            <w:r>
              <w:rPr>
                <w:sz w:val="20"/>
                <w:szCs w:val="20"/>
              </w:rPr>
              <w:t xml:space="preserve">Односторонний отказ от исполнения договора возможен в порядке, установленном в проекте договора</w:t>
            </w:r>
            <w:r>
              <w:rPr>
                <w:i/>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spacing w:after="0"/>
              <w:widowControl w:val="off"/>
              <w:rPr>
                <w:sz w:val="20"/>
                <w:szCs w:val="20"/>
              </w:rPr>
            </w:pPr>
            <w:r>
              <w:rPr>
                <w:sz w:val="20"/>
                <w:szCs w:val="20"/>
              </w:rPr>
              <w:t xml:space="preserve">1.7</w:t>
            </w:r>
            <w:r>
              <w:rPr>
                <w:sz w:val="20"/>
                <w:szCs w:val="20"/>
              </w:rPr>
            </w:r>
          </w:p>
        </w:tc>
        <w:tc>
          <w:tcPr>
            <w:shd w:val="clear" w:color="auto" w:fill="auto"/>
            <w:tcBorders>
              <w:top w:val="single" w:color="000000" w:sz="4" w:space="0"/>
              <w:bottom w:val="single" w:color="000000" w:sz="4" w:space="0"/>
              <w:right w:val="single" w:color="000000" w:sz="4" w:space="0"/>
            </w:tcBorders>
            <w:tcW w:w="2140" w:type="dxa"/>
            <w:textDirection w:val="lrTb"/>
            <w:noWrap w:val="false"/>
          </w:tcPr>
          <w:p>
            <w:pPr>
              <w:pStyle w:val="1360"/>
              <w:widowControl w:val="off"/>
              <w:rPr>
                <w:color w:val="auto"/>
                <w:sz w:val="18"/>
                <w:szCs w:val="18"/>
                <w:lang w:eastAsia="ru-RU"/>
              </w:rPr>
            </w:pPr>
            <w:r>
              <w:rPr>
                <w:color w:val="auto"/>
                <w:sz w:val="18"/>
                <w:szCs w:val="18"/>
                <w:lang w:eastAsia="ru-RU"/>
              </w:rPr>
              <w:t xml:space="preserve">Требования о запрете, ограничении закупок товаров, происходящих из иностранных государств, работ, услуг и преимуществе в отношении товаров российского происхождения в соответствии с Постановлен</w:t>
            </w:r>
            <w:r>
              <w:rPr>
                <w:color w:val="auto"/>
                <w:sz w:val="18"/>
                <w:szCs w:val="18"/>
                <w:lang w:eastAsia="ru-RU"/>
              </w:rPr>
              <w:t xml:space="preserve">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color w:val="auto"/>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60"/>
              <w:jc w:val="both"/>
              <w:spacing w:after="120"/>
              <w:widowControl w:val="off"/>
              <w:rPr>
                <w:sz w:val="20"/>
                <w:szCs w:val="20"/>
              </w:rPr>
            </w:pPr>
            <w:r>
              <w:rPr>
                <w:sz w:val="20"/>
                <w:szCs w:val="20"/>
              </w:rPr>
              <w:t xml:space="preserve">Не установлено</w:t>
            </w:r>
            <w:r>
              <w:rPr>
                <w:sz w:val="20"/>
                <w:szCs w:val="20"/>
              </w:rPr>
            </w:r>
          </w:p>
        </w:tc>
      </w:tr>
      <w:tr>
        <w:tblPrEx/>
        <w:trPr>
          <w:jc w:val="center"/>
        </w:trPr>
        <w:tc>
          <w:tcPr>
            <w:tcBorders>
              <w:top w:val="single" w:color="000000" w:sz="4" w:space="0"/>
              <w:left w:val="single" w:color="000000" w:sz="4" w:space="0"/>
              <w:bottom w:val="single" w:color="000000" w:sz="4" w:space="0"/>
              <w:right w:val="single" w:color="000000" w:sz="4" w:space="0"/>
            </w:tcBorders>
            <w:tcW w:w="607" w:type="dxa"/>
            <w:textDirection w:val="lrTb"/>
            <w:noWrap w:val="false"/>
          </w:tcPr>
          <w:p>
            <w:pPr>
              <w:pStyle w:val="1118"/>
              <w:numPr>
                <w:ilvl w:val="0"/>
                <w:numId w:val="8"/>
              </w:numPr>
              <w:ind w:left="0" w:firstLine="0"/>
              <w:keepNext w:val="0"/>
              <w:spacing w:before="0" w:after="0"/>
              <w:widowControl w:val="off"/>
              <w:tabs>
                <w:tab w:val="left" w:pos="284" w:leader="none"/>
              </w:tabs>
              <w:rPr>
                <w:rFonts w:ascii="Times New Roman" w:hAnsi="Times New Roman" w:cs="Times New Roman"/>
                <w:sz w:val="20"/>
                <w:szCs w:val="20"/>
              </w:rPr>
            </w:pPr>
            <w:r>
              <w:rPr>
                <w:rFonts w:ascii="Times New Roman" w:hAnsi="Times New Roman" w:cs="Times New Roman"/>
                <w:sz w:val="20"/>
                <w:szCs w:val="20"/>
              </w:rPr>
            </w:r>
            <w:r>
              <w:rPr>
                <w:rFonts w:ascii="Times New Roman" w:hAnsi="Times New Roman" w:cs="Times New Roman"/>
                <w:sz w:val="20"/>
                <w:szCs w:val="20"/>
              </w:rPr>
            </w:r>
          </w:p>
        </w:tc>
        <w:tc>
          <w:tcPr>
            <w:tcBorders>
              <w:top w:val="single" w:color="000000" w:sz="4" w:space="0"/>
              <w:left w:val="single" w:color="000000" w:sz="4" w:space="0"/>
              <w:bottom w:val="single" w:color="000000" w:sz="4" w:space="0"/>
              <w:right w:val="single" w:color="000000" w:sz="4" w:space="0"/>
            </w:tcBorders>
            <w:tcW w:w="1817" w:type="dxa"/>
            <w:textDirection w:val="lrTb"/>
            <w:noWrap w:val="false"/>
          </w:tcPr>
          <w:p>
            <w:pPr>
              <w:jc w:val="left"/>
              <w:spacing w:after="0"/>
              <w:widowControl w:val="off"/>
              <w:rPr>
                <w:sz w:val="20"/>
                <w:szCs w:val="20"/>
              </w:rPr>
            </w:pPr>
            <w:r>
              <w:rPr>
                <w:sz w:val="20"/>
                <w:szCs w:val="20"/>
              </w:rPr>
              <w:t xml:space="preserve">1.7</w:t>
            </w:r>
            <w:r>
              <w:rPr>
                <w:sz w:val="20"/>
                <w:szCs w:val="20"/>
              </w:rPr>
            </w:r>
          </w:p>
        </w:tc>
        <w:tc>
          <w:tcPr>
            <w:shd w:val="clear" w:color="auto" w:fill="auto"/>
            <w:tcBorders>
              <w:top w:val="single" w:color="000000" w:sz="4" w:space="0"/>
              <w:bottom w:val="single" w:color="000000" w:sz="4" w:space="0"/>
              <w:right w:val="single" w:color="000000" w:sz="4" w:space="0"/>
            </w:tcBorders>
            <w:tcW w:w="2140" w:type="dxa"/>
            <w:textDirection w:val="lrTb"/>
            <w:noWrap w:val="false"/>
          </w:tcPr>
          <w:p>
            <w:pPr>
              <w:pStyle w:val="1360"/>
              <w:widowControl w:val="off"/>
              <w:rPr>
                <w:color w:val="auto"/>
                <w:sz w:val="18"/>
                <w:szCs w:val="18"/>
                <w:lang w:eastAsia="ru-RU"/>
              </w:rPr>
            </w:pPr>
            <w:r>
              <w:rPr>
                <w:color w:val="auto"/>
                <w:sz w:val="18"/>
                <w:szCs w:val="18"/>
                <w:lang w:eastAsia="ru-RU"/>
              </w:rPr>
              <w:t xml:space="preserve">Требования к информации и документам, подтверждающим страну происхождения </w:t>
            </w:r>
            <w:r>
              <w:rPr>
                <w:color w:val="auto"/>
                <w:sz w:val="18"/>
                <w:szCs w:val="18"/>
                <w:lang w:eastAsia="ru-RU"/>
              </w:rPr>
              <w:t xml:space="preserve">товара для целей применения запретов и ограничений</w:t>
            </w:r>
            <w:r>
              <w:rPr>
                <w:color w:val="auto"/>
                <w:sz w:val="18"/>
                <w:szCs w:val="18"/>
                <w:lang w:eastAsia="ru-RU"/>
              </w:rPr>
            </w:r>
          </w:p>
        </w:tc>
        <w:tc>
          <w:tcPr>
            <w:shd w:val="clear" w:color="auto" w:fill="auto"/>
            <w:tcBorders>
              <w:top w:val="single" w:color="000000" w:sz="4" w:space="0"/>
              <w:left w:val="single" w:color="000000" w:sz="4" w:space="0"/>
              <w:bottom w:val="single" w:color="000000" w:sz="4" w:space="0"/>
              <w:right w:val="single" w:color="000000" w:sz="4" w:space="0"/>
            </w:tcBorders>
            <w:tcW w:w="5891" w:type="dxa"/>
            <w:textDirection w:val="lrTb"/>
            <w:noWrap w:val="false"/>
          </w:tcPr>
          <w:p>
            <w:pPr>
              <w:pStyle w:val="1360"/>
              <w:jc w:val="both"/>
              <w:spacing w:after="120"/>
              <w:widowControl w:val="off"/>
              <w:rPr>
                <w:sz w:val="20"/>
                <w:szCs w:val="20"/>
              </w:rPr>
            </w:pPr>
            <w:r>
              <w:rPr>
                <w:sz w:val="20"/>
                <w:szCs w:val="20"/>
              </w:rPr>
              <w:t xml:space="preserve">Не требуются</w:t>
            </w:r>
            <w:r>
              <w:rPr>
                <w:sz w:val="20"/>
                <w:szCs w:val="20"/>
              </w:rPr>
            </w:r>
          </w:p>
        </w:tc>
      </w:tr>
    </w:tbl>
    <w:p>
      <w:pPr>
        <w:sectPr>
          <w:footnotePr/>
          <w:endnotePr/>
          <w:type w:val="continuous"/>
          <w:pgSz w:w="11906" w:h="16838" w:orient="portrait"/>
          <w:pgMar w:top="1134" w:right="850" w:bottom="1134" w:left="1701" w:header="0" w:footer="283" w:gutter="0"/>
          <w:cols w:num="1" w:sep="0" w:space="720" w:equalWidth="1"/>
          <w:docGrid w:linePitch="360"/>
          <w:titlePg/>
        </w:sectPr>
      </w:pPr>
      <w:r/>
      <w:r/>
    </w:p>
    <w:p>
      <w:pPr>
        <w:pStyle w:val="1117"/>
        <w:jc w:val="right"/>
        <w:rPr>
          <w:sz w:val="22"/>
          <w:szCs w:val="22"/>
        </w:rPr>
      </w:pPr>
      <w:r/>
      <w:bookmarkStart w:id="750" w:name="_Toc224650007"/>
      <w:r/>
      <w:bookmarkStart w:id="751" w:name="_Toc236307232"/>
      <w:r>
        <w:rPr>
          <w:sz w:val="22"/>
          <w:szCs w:val="22"/>
        </w:rPr>
        <w:t xml:space="preserve">Приложение № 1</w:t>
      </w:r>
      <w:bookmarkEnd w:id="750"/>
      <w:r/>
      <w:bookmarkEnd w:id="751"/>
      <w:r>
        <w:rPr>
          <w:sz w:val="22"/>
          <w:szCs w:val="22"/>
        </w:rPr>
        <w:t xml:space="preserve"> </w:t>
      </w:r>
      <w:r>
        <w:rPr>
          <w:sz w:val="22"/>
          <w:szCs w:val="22"/>
        </w:rPr>
      </w:r>
    </w:p>
    <w:p>
      <w:pPr>
        <w:jc w:val="right"/>
        <w:rPr>
          <w:b/>
          <w:sz w:val="22"/>
          <w:szCs w:val="22"/>
        </w:rPr>
      </w:pPr>
      <w:r>
        <w:rPr>
          <w:b/>
          <w:sz w:val="22"/>
          <w:szCs w:val="22"/>
        </w:rPr>
        <w:t xml:space="preserve">к части II «ИНФОРМАЦИОННАЯ КАРТА ЗАКУПКИ» </w:t>
      </w:r>
      <w:r>
        <w:rPr>
          <w:b/>
          <w:sz w:val="22"/>
          <w:szCs w:val="22"/>
        </w:rPr>
      </w:r>
    </w:p>
    <w:p>
      <w:pPr>
        <w:pStyle w:val="1352"/>
        <w:numPr>
          <w:ilvl w:val="0"/>
          <w:numId w:val="11"/>
        </w:numPr>
        <w:contextualSpacing/>
        <w:ind w:left="0" w:firstLine="567"/>
        <w:jc w:val="both"/>
        <w:keepLines/>
        <w:spacing w:before="120" w:after="120"/>
      </w:pPr>
      <w:r>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w:t>
      </w:r>
      <w:r/>
    </w:p>
    <w:p>
      <w:pPr>
        <w:jc w:val="left"/>
        <w:spacing w:after="0"/>
      </w:pPr>
      <w:r/>
      <w:r/>
    </w:p>
    <w:tbl>
      <w:tblPr>
        <w:tblW w:w="5000" w:type="pct"/>
        <w:tblInd w:w="103" w:type="dxa"/>
        <w:tblLayout w:type="fixed"/>
        <w:tblLook w:val="04A0" w:firstRow="1" w:lastRow="0" w:firstColumn="1" w:lastColumn="0" w:noHBand="0" w:noVBand="1"/>
      </w:tblPr>
      <w:tblGrid>
        <w:gridCol w:w="498"/>
        <w:gridCol w:w="3332"/>
        <w:gridCol w:w="1135"/>
        <w:gridCol w:w="1419"/>
        <w:gridCol w:w="3084"/>
      </w:tblGrid>
      <w:tr>
        <w:tblPrEx/>
        <w:trPr>
          <w:trHeight w:val="368"/>
        </w:trPr>
        <w:tc>
          <w:tcPr>
            <w:tcBorders>
              <w:top w:val="single" w:color="000000" w:sz="4" w:space="0"/>
              <w:left w:val="single" w:color="000000" w:sz="4" w:space="0"/>
              <w:bottom w:val="single" w:color="000000" w:sz="4" w:space="0"/>
              <w:right w:val="single" w:color="000000" w:sz="4" w:space="0"/>
            </w:tcBorders>
            <w:tcW w:w="498" w:type="dxa"/>
            <w:vAlign w:val="center"/>
            <w:textDirection w:val="lrTb"/>
            <w:noWrap w:val="false"/>
          </w:tcPr>
          <w:p>
            <w:pPr>
              <w:jc w:val="center"/>
              <w:spacing w:after="0"/>
              <w:rPr>
                <w:b/>
                <w:bCs/>
                <w:sz w:val="18"/>
                <w:szCs w:val="18"/>
              </w:rPr>
            </w:pPr>
            <w:r>
              <w:rPr>
                <w:b/>
                <w:bCs/>
                <w:sz w:val="18"/>
                <w:szCs w:val="18"/>
              </w:rPr>
              <w:t xml:space="preserve">№ </w:t>
            </w:r>
            <w:r>
              <w:rPr>
                <w:b/>
                <w:bCs/>
                <w:sz w:val="18"/>
                <w:szCs w:val="18"/>
              </w:rPr>
              <w:t xml:space="preserve">п</w:t>
            </w:r>
            <w:r>
              <w:rPr>
                <w:b/>
                <w:bCs/>
                <w:sz w:val="18"/>
                <w:szCs w:val="18"/>
              </w:rPr>
              <w:t xml:space="preserve">/п</w:t>
            </w:r>
            <w:r>
              <w:rPr>
                <w:b/>
                <w:bCs/>
                <w:sz w:val="18"/>
                <w:szCs w:val="18"/>
              </w:rPr>
            </w:r>
          </w:p>
        </w:tc>
        <w:tc>
          <w:tcPr>
            <w:tcBorders>
              <w:top w:val="single" w:color="000000" w:sz="4" w:space="0"/>
              <w:left w:val="single" w:color="000000" w:sz="4" w:space="0"/>
              <w:bottom w:val="single" w:color="000000" w:sz="4" w:space="0"/>
              <w:right w:val="single" w:color="000000" w:sz="4" w:space="0"/>
            </w:tcBorders>
            <w:tcW w:w="3332" w:type="dxa"/>
            <w:vAlign w:val="center"/>
            <w:textDirection w:val="lrTb"/>
            <w:noWrap w:val="false"/>
          </w:tcPr>
          <w:p>
            <w:pPr>
              <w:pStyle w:val="1336"/>
              <w:ind w:firstLine="0"/>
              <w:jc w:val="center"/>
              <w:rPr>
                <w:rFonts w:ascii="Times New Roman" w:hAnsi="Times New Roman" w:cs="Times New Roman"/>
                <w:b/>
                <w:sz w:val="18"/>
                <w:szCs w:val="18"/>
              </w:rPr>
            </w:pPr>
            <w:r>
              <w:rPr>
                <w:rFonts w:ascii="Times New Roman" w:hAnsi="Times New Roman" w:cs="Times New Roman"/>
                <w:b/>
                <w:sz w:val="18"/>
                <w:szCs w:val="18"/>
              </w:rPr>
              <w:t xml:space="preserve">Критерии (подкритерии) оценки заявки</w:t>
            </w:r>
            <w:r>
              <w:rPr>
                <w:rFonts w:ascii="Times New Roman" w:hAnsi="Times New Roman" w:cs="Times New Roman"/>
                <w:b/>
                <w:sz w:val="18"/>
                <w:szCs w:val="18"/>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1336"/>
              <w:ind w:firstLine="0"/>
              <w:jc w:val="center"/>
              <w:rPr>
                <w:rFonts w:ascii="Times New Roman" w:hAnsi="Times New Roman" w:cs="Times New Roman"/>
                <w:b/>
                <w:sz w:val="18"/>
                <w:szCs w:val="18"/>
              </w:rPr>
            </w:pPr>
            <w:r>
              <w:rPr>
                <w:rFonts w:ascii="Times New Roman" w:hAnsi="Times New Roman" w:cs="Times New Roman"/>
                <w:b/>
                <w:sz w:val="18"/>
                <w:szCs w:val="18"/>
              </w:rPr>
              <w:t xml:space="preserve">Весовое значение критерия</w:t>
            </w:r>
            <w:r>
              <w:rPr>
                <w:rFonts w:ascii="Times New Roman" w:hAnsi="Times New Roman" w:cs="Times New Roman"/>
                <w:b/>
                <w:sz w:val="18"/>
                <w:szCs w:val="18"/>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1419" w:type="dxa"/>
            <w:vAlign w:val="center"/>
            <w:textDirection w:val="lrTb"/>
            <w:noWrap w:val="false"/>
          </w:tcPr>
          <w:p>
            <w:pPr>
              <w:pStyle w:val="1336"/>
              <w:ind w:firstLine="0"/>
              <w:jc w:val="center"/>
              <w:rPr>
                <w:rFonts w:ascii="Times New Roman" w:hAnsi="Times New Roman" w:cs="Times New Roman"/>
                <w:b/>
                <w:sz w:val="18"/>
                <w:szCs w:val="18"/>
              </w:rPr>
            </w:pPr>
            <w:r>
              <w:rPr>
                <w:rFonts w:ascii="Times New Roman" w:hAnsi="Times New Roman" w:cs="Times New Roman"/>
                <w:b/>
                <w:sz w:val="18"/>
                <w:szCs w:val="18"/>
              </w:rPr>
              <w:t xml:space="preserve">Максимальный выставляемый балл</w:t>
            </w:r>
            <w:r>
              <w:rPr>
                <w:rFonts w:ascii="Times New Roman" w:hAnsi="Times New Roman" w:cs="Times New Roman"/>
                <w:b/>
                <w:sz w:val="18"/>
                <w:szCs w:val="18"/>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3084" w:type="dxa"/>
            <w:textDirection w:val="lrTb"/>
            <w:noWrap w:val="false"/>
          </w:tcPr>
          <w:p>
            <w:pPr>
              <w:jc w:val="center"/>
              <w:spacing w:after="0"/>
              <w:rPr>
                <w:b/>
                <w:sz w:val="18"/>
                <w:szCs w:val="18"/>
              </w:rPr>
            </w:pPr>
            <w:r>
              <w:rPr>
                <w:b/>
                <w:sz w:val="18"/>
                <w:szCs w:val="18"/>
              </w:rPr>
              <w:t xml:space="preserve">Порядок оценки по критерию, в том числе с указанием необходимых подтверждающих сведений и документов</w:t>
            </w:r>
            <w:r>
              <w:rPr>
                <w:b/>
                <w:sz w:val="18"/>
                <w:szCs w:val="18"/>
              </w:rPr>
            </w:r>
          </w:p>
        </w:tc>
      </w:tr>
      <w:tr>
        <w:tblPrEx/>
        <w:trPr>
          <w:trHeight w:val="368"/>
        </w:trPr>
        <w:tc>
          <w:tcPr>
            <w:tcBorders>
              <w:top w:val="single" w:color="000000" w:sz="4" w:space="0"/>
              <w:left w:val="single" w:color="000000" w:sz="4" w:space="0"/>
              <w:bottom w:val="single" w:color="000000" w:sz="4" w:space="0"/>
              <w:right w:val="single" w:color="000000" w:sz="4" w:space="0"/>
            </w:tcBorders>
            <w:tcW w:w="498" w:type="dxa"/>
            <w:vAlign w:val="center"/>
            <w:textDirection w:val="lrTb"/>
            <w:noWrap w:val="false"/>
          </w:tcPr>
          <w:p>
            <w:pPr>
              <w:jc w:val="center"/>
              <w:spacing w:after="0"/>
              <w:rPr>
                <w:b/>
                <w:bCs/>
                <w:sz w:val="18"/>
                <w:szCs w:val="18"/>
              </w:rPr>
            </w:pPr>
            <w:r>
              <w:rPr>
                <w:bCs/>
                <w:sz w:val="18"/>
                <w:szCs w:val="18"/>
              </w:rPr>
              <w:t xml:space="preserve">1</w:t>
            </w:r>
            <w:r>
              <w:rPr>
                <w:b/>
                <w:bCs/>
                <w:sz w:val="18"/>
                <w:szCs w:val="18"/>
              </w:rPr>
            </w:r>
          </w:p>
        </w:tc>
        <w:tc>
          <w:tcPr>
            <w:tcBorders>
              <w:top w:val="single" w:color="000000" w:sz="4" w:space="0"/>
              <w:left w:val="single" w:color="000000" w:sz="4" w:space="0"/>
              <w:bottom w:val="single" w:color="000000" w:sz="4" w:space="0"/>
              <w:right w:val="single" w:color="000000" w:sz="4" w:space="0"/>
            </w:tcBorders>
            <w:tcW w:w="3332" w:type="dxa"/>
            <w:vAlign w:val="center"/>
            <w:textDirection w:val="lrTb"/>
            <w:noWrap w:val="false"/>
          </w:tcPr>
          <w:p>
            <w:pPr>
              <w:tabs>
                <w:tab w:val="left" w:pos="0" w:leader="none"/>
                <w:tab w:val="left" w:pos="142" w:leader="none"/>
              </w:tabs>
              <w:rPr>
                <w:rFonts w:eastAsia="Calibri"/>
                <w:b/>
                <w:bCs/>
                <w:sz w:val="20"/>
                <w:szCs w:val="20"/>
                <w:highlight w:val="white"/>
              </w:rPr>
            </w:pPr>
            <w:r>
              <w:rPr>
                <w:rFonts w:eastAsia="SimSun"/>
                <w:b/>
                <w:sz w:val="20"/>
                <w:szCs w:val="20"/>
                <w:lang w:eastAsia="ar-SA" w:bidi="hi-IN"/>
              </w:rPr>
              <w:t xml:space="preserve">Цена заявки </w:t>
            </w:r>
            <w:r>
              <w:rPr>
                <w:rFonts w:eastAsia="Calibri"/>
                <w:sz w:val="20"/>
                <w:szCs w:val="20"/>
                <w:lang w:eastAsia="en-US"/>
              </w:rPr>
              <w:t xml:space="preserve">(рейтинг по критерию стоимости)</w:t>
            </w:r>
            <w:r>
              <w:rPr>
                <w:rFonts w:eastAsia="Calibri"/>
                <w:b/>
                <w:bCs/>
                <w:sz w:val="20"/>
                <w:szCs w:val="20"/>
              </w:rPr>
              <w:t xml:space="preserve"> (</w:t>
            </w:r>
            <w:r>
              <w:rPr>
                <w:rFonts w:eastAsia="Calibri"/>
                <w:b/>
                <w:bCs/>
                <w:sz w:val="20"/>
                <w:szCs w:val="20"/>
                <w:lang w:val="en-US"/>
              </w:rPr>
              <w:t xml:space="preserve">R</w:t>
            </w:r>
            <w:r>
              <w:rPr>
                <w:rFonts w:eastAsia="Calibri"/>
                <w:b/>
                <w:bCs/>
                <w:i/>
                <w:sz w:val="20"/>
                <w:szCs w:val="20"/>
                <w:lang w:val="en-US"/>
              </w:rPr>
              <w:t xml:space="preserve">si</w:t>
            </w:r>
            <w:r>
              <w:rPr>
                <w:rFonts w:eastAsia="Calibri"/>
                <w:b/>
                <w:bCs/>
                <w:sz w:val="20"/>
                <w:szCs w:val="20"/>
              </w:rPr>
              <w:t xml:space="preserve">)</w:t>
            </w:r>
            <w:r>
              <w:rPr>
                <w:rFonts w:eastAsia="Calibri"/>
                <w:b/>
                <w:bCs/>
                <w:sz w:val="20"/>
                <w:szCs w:val="20"/>
                <w:highlight w:val="white"/>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ind w:left="142" w:hanging="142"/>
              <w:jc w:val="center"/>
              <w:tabs>
                <w:tab w:val="left" w:pos="0" w:leader="none"/>
                <w:tab w:val="left" w:pos="142" w:leader="none"/>
              </w:tabs>
              <w:rPr>
                <w:rFonts w:eastAsia="Calibri"/>
                <w:b/>
                <w:bCs/>
                <w:sz w:val="20"/>
                <w:szCs w:val="20"/>
                <w:highlight w:val="white"/>
              </w:rPr>
            </w:pPr>
            <w:r>
              <w:rPr>
                <w:rFonts w:eastAsia="Calibri"/>
                <w:bCs/>
                <w:sz w:val="20"/>
                <w:szCs w:val="20"/>
              </w:rPr>
              <w:t xml:space="preserve">0,</w:t>
            </w:r>
            <w:r>
              <w:rPr>
                <w:rFonts w:eastAsia="Calibri"/>
                <w:bCs/>
                <w:sz w:val="20"/>
                <w:szCs w:val="20"/>
                <w:lang w:val="en-US"/>
              </w:rPr>
              <w:t xml:space="preserve">7</w:t>
            </w:r>
            <w:r>
              <w:rPr>
                <w:rFonts w:eastAsia="Calibri"/>
                <w:bCs/>
                <w:sz w:val="20"/>
                <w:szCs w:val="20"/>
              </w:rPr>
              <w:t xml:space="preserve"> (</w:t>
            </w:r>
            <w:r>
              <w:rPr>
                <w:rFonts w:eastAsia="Calibri"/>
                <w:bCs/>
                <w:sz w:val="20"/>
                <w:szCs w:val="20"/>
                <w:lang w:val="en-US"/>
              </w:rPr>
              <w:t xml:space="preserve">Vs</w:t>
            </w:r>
            <w:r>
              <w:rPr>
                <w:rFonts w:eastAsia="Calibri"/>
                <w:bCs/>
                <w:sz w:val="20"/>
                <w:szCs w:val="20"/>
              </w:rPr>
              <w:t xml:space="preserve">)</w:t>
            </w:r>
            <w:r>
              <w:rPr>
                <w:rFonts w:eastAsia="Calibri"/>
                <w:b/>
                <w:bCs/>
                <w:sz w:val="20"/>
                <w:szCs w:val="20"/>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1419" w:type="dxa"/>
            <w:vAlign w:val="center"/>
            <w:textDirection w:val="lrTb"/>
            <w:noWrap w:val="false"/>
          </w:tcPr>
          <w:p>
            <w:pPr>
              <w:pStyle w:val="1336"/>
              <w:ind w:firstLine="13"/>
              <w:jc w:val="center"/>
              <w:rPr>
                <w:rFonts w:ascii="Times New Roman" w:hAnsi="Times New Roman" w:cs="Times New Roman"/>
                <w:highlight w:val="white"/>
              </w:rPr>
            </w:pPr>
            <w:r>
              <w:rPr>
                <w:rFonts w:ascii="Times New Roman" w:hAnsi="Times New Roman" w:cs="Times New Roman"/>
              </w:rPr>
              <w:t xml:space="preserve">100</w:t>
            </w:r>
            <w:r>
              <w:rPr>
                <w:rFonts w:ascii="Times New Roman" w:hAnsi="Times New Roman" w:cs="Times New Roman"/>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3084" w:type="dxa"/>
            <w:vAlign w:val="center"/>
            <w:textDirection w:val="lrTb"/>
            <w:noWrap w:val="false"/>
          </w:tcPr>
          <w:p>
            <w:pPr>
              <w:jc w:val="center"/>
              <w:spacing w:after="0"/>
              <w:rPr>
                <w:sz w:val="20"/>
                <w:szCs w:val="20"/>
                <w:highlight w:val="white"/>
              </w:rPr>
            </w:pPr>
            <w:r>
              <w:rPr>
                <w:sz w:val="20"/>
                <w:szCs w:val="20"/>
                <w:highlight w:val="white"/>
              </w:rPr>
              <w:t xml:space="preserve">Пункт 3 Приложения №1 к части II «ИНФОРМАЦИОННАЯ КАРТА ЗАКУПКИ»</w:t>
            </w:r>
            <w:r>
              <w:rPr>
                <w:sz w:val="20"/>
                <w:szCs w:val="20"/>
                <w:highlight w:val="white"/>
              </w:rPr>
            </w:r>
          </w:p>
        </w:tc>
      </w:tr>
      <w:tr>
        <w:tblPrEx/>
        <w:trPr>
          <w:trHeight w:val="383"/>
        </w:trPr>
        <w:tc>
          <w:tcPr>
            <w:tcBorders>
              <w:top w:val="single" w:color="000000" w:sz="4" w:space="0"/>
              <w:left w:val="single" w:color="000000" w:sz="4" w:space="0"/>
              <w:bottom w:val="single" w:color="000000" w:sz="4" w:space="0"/>
              <w:right w:val="single" w:color="000000" w:sz="4" w:space="0"/>
            </w:tcBorders>
            <w:tcW w:w="498" w:type="dxa"/>
            <w:vAlign w:val="center"/>
            <w:textDirection w:val="lrTb"/>
            <w:noWrap w:val="false"/>
          </w:tcPr>
          <w:p>
            <w:pPr>
              <w:pStyle w:val="1336"/>
              <w:ind w:firstLine="12"/>
              <w:jc w:val="center"/>
              <w:rPr>
                <w:rFonts w:ascii="Times New Roman" w:hAnsi="Times New Roman" w:cs="Times New Roman"/>
                <w:b/>
                <w:sz w:val="18"/>
                <w:szCs w:val="18"/>
              </w:rPr>
            </w:pPr>
            <w:r>
              <w:rPr>
                <w:rFonts w:ascii="Times New Roman" w:hAnsi="Times New Roman" w:cs="Times New Roman"/>
                <w:sz w:val="18"/>
                <w:szCs w:val="18"/>
              </w:rPr>
              <w:t xml:space="preserve">2</w:t>
            </w:r>
            <w:r>
              <w:rPr>
                <w:rFonts w:ascii="Times New Roman" w:hAnsi="Times New Roman" w:cs="Times New Roman"/>
                <w:b/>
                <w:sz w:val="18"/>
                <w:szCs w:val="18"/>
              </w:rPr>
            </w:r>
          </w:p>
        </w:tc>
        <w:tc>
          <w:tcPr>
            <w:tcBorders>
              <w:top w:val="single" w:color="000000" w:sz="4" w:space="0"/>
              <w:left w:val="single" w:color="000000" w:sz="4" w:space="0"/>
              <w:bottom w:val="single" w:color="000000" w:sz="4" w:space="0"/>
              <w:right w:val="single" w:color="000000" w:sz="4" w:space="0"/>
            </w:tcBorders>
            <w:tcW w:w="3332" w:type="dxa"/>
            <w:vAlign w:val="center"/>
            <w:textDirection w:val="lrTb"/>
            <w:noWrap w:val="false"/>
          </w:tcPr>
          <w:p>
            <w:pPr>
              <w:spacing w:after="0"/>
              <w:rPr>
                <w:rFonts w:eastAsia="Calibri"/>
                <w:b/>
                <w:bCs/>
                <w:sz w:val="20"/>
                <w:szCs w:val="20"/>
                <w:lang w:eastAsia="en-US"/>
              </w:rPr>
            </w:pPr>
            <w:r>
              <w:rPr>
                <w:rFonts w:eastAsia="Calibri"/>
                <w:b/>
                <w:bCs/>
                <w:sz w:val="20"/>
                <w:szCs w:val="20"/>
              </w:rPr>
              <w:t xml:space="preserve">Опыт оказания аналогичных услуг (</w:t>
            </w:r>
            <w:r>
              <w:rPr>
                <w:rFonts w:eastAsia="Calibri"/>
                <w:b/>
                <w:bCs/>
                <w:sz w:val="20"/>
                <w:szCs w:val="20"/>
              </w:rPr>
              <w:t xml:space="preserve">R</w:t>
            </w:r>
            <w:r>
              <w:rPr>
                <w:rFonts w:eastAsia="Calibri"/>
                <w:b/>
                <w:bCs/>
                <w:sz w:val="20"/>
                <w:szCs w:val="20"/>
                <w:vertAlign w:val="subscript"/>
              </w:rPr>
              <w:t xml:space="preserve">oi</w:t>
            </w:r>
            <w:r>
              <w:rPr>
                <w:rFonts w:eastAsia="Calibri"/>
                <w:b/>
                <w:bCs/>
                <w:sz w:val="20"/>
                <w:szCs w:val="20"/>
              </w:rPr>
              <w:t xml:space="preserve">)</w:t>
            </w:r>
            <w:r>
              <w:rPr>
                <w:rFonts w:eastAsia="Calibri"/>
                <w:b/>
                <w:bCs/>
                <w:sz w:val="20"/>
                <w:szCs w:val="20"/>
                <w:lang w:eastAsia="en-US"/>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ind w:left="142" w:hanging="142"/>
              <w:jc w:val="center"/>
              <w:tabs>
                <w:tab w:val="left" w:pos="0" w:leader="none"/>
                <w:tab w:val="left" w:pos="142" w:leader="none"/>
              </w:tabs>
              <w:rPr>
                <w:rFonts w:eastAsia="Calibri"/>
                <w:b/>
                <w:sz w:val="20"/>
                <w:szCs w:val="20"/>
                <w:highlight w:val="white"/>
              </w:rPr>
            </w:pPr>
            <w:r>
              <w:rPr>
                <w:rFonts w:eastAsia="Calibri"/>
                <w:sz w:val="20"/>
                <w:szCs w:val="20"/>
              </w:rPr>
              <w:t xml:space="preserve">0,1</w:t>
            </w:r>
            <w:r>
              <w:rPr>
                <w:rFonts w:eastAsia="Calibri"/>
                <w:sz w:val="20"/>
                <w:szCs w:val="20"/>
                <w:lang w:val="en-US"/>
              </w:rPr>
              <w:t xml:space="preserve"> </w:t>
            </w:r>
            <w:r>
              <w:rPr>
                <w:rFonts w:eastAsia="Calibri"/>
                <w:sz w:val="20"/>
                <w:szCs w:val="20"/>
              </w:rPr>
              <w:t xml:space="preserve">(</w:t>
            </w:r>
            <w:r>
              <w:rPr>
                <w:rFonts w:eastAsia="Calibri"/>
                <w:sz w:val="20"/>
                <w:szCs w:val="20"/>
                <w:lang w:val="en-US"/>
              </w:rPr>
              <w:t xml:space="preserve">V</w:t>
            </w:r>
            <w:r>
              <w:rPr>
                <w:rFonts w:eastAsia="Calibri"/>
                <w:sz w:val="20"/>
                <w:szCs w:val="20"/>
              </w:rPr>
              <w:t xml:space="preserve">о</w:t>
            </w:r>
            <w:r>
              <w:rPr>
                <w:rFonts w:eastAsia="Calibri"/>
                <w:sz w:val="20"/>
                <w:szCs w:val="20"/>
                <w:lang w:val="en-US"/>
              </w:rPr>
              <w:t xml:space="preserve">)</w:t>
            </w:r>
            <w:r>
              <w:rPr>
                <w:rFonts w:eastAsia="Calibri"/>
                <w:b/>
                <w:sz w:val="20"/>
                <w:szCs w:val="20"/>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1419" w:type="dxa"/>
            <w:vAlign w:val="center"/>
            <w:textDirection w:val="lrTb"/>
            <w:noWrap w:val="false"/>
          </w:tcPr>
          <w:p>
            <w:pPr>
              <w:pStyle w:val="1336"/>
              <w:ind w:firstLine="13"/>
              <w:jc w:val="center"/>
              <w:rPr>
                <w:rFonts w:ascii="Times New Roman" w:hAnsi="Times New Roman" w:cs="Times New Roman"/>
                <w:highlight w:val="white"/>
              </w:rPr>
            </w:pPr>
            <w:r>
              <w:rPr>
                <w:rFonts w:ascii="Times New Roman" w:hAnsi="Times New Roman" w:cs="Times New Roman"/>
              </w:rPr>
              <w:t xml:space="preserve">100</w:t>
            </w:r>
            <w:r>
              <w:rPr>
                <w:rFonts w:ascii="Times New Roman" w:hAnsi="Times New Roman" w:cs="Times New Roman"/>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3084" w:type="dxa"/>
            <w:vAlign w:val="center"/>
            <w:textDirection w:val="lrTb"/>
            <w:noWrap w:val="false"/>
          </w:tcPr>
          <w:p>
            <w:pPr>
              <w:ind w:right="-16"/>
              <w:jc w:val="center"/>
              <w:widowControl w:val="off"/>
              <w:rPr>
                <w:sz w:val="20"/>
                <w:szCs w:val="20"/>
                <w:highlight w:val="white"/>
              </w:rPr>
            </w:pPr>
            <w:r>
              <w:rPr>
                <w:sz w:val="20"/>
                <w:szCs w:val="20"/>
                <w:highlight w:val="white"/>
              </w:rPr>
              <w:t xml:space="preserve">Пункт 4 Приложения №1 к части II «ИНФОРМАЦИОННАЯ КАРТА ЗАКУПКИ»</w:t>
            </w:r>
            <w:r>
              <w:rPr>
                <w:sz w:val="20"/>
                <w:szCs w:val="20"/>
                <w:highlight w:val="white"/>
              </w:rPr>
            </w:r>
          </w:p>
        </w:tc>
      </w:tr>
      <w:tr>
        <w:tblPrEx/>
        <w:trPr>
          <w:trHeight w:val="383"/>
        </w:trPr>
        <w:tc>
          <w:tcPr>
            <w:tcBorders>
              <w:top w:val="single" w:color="000000" w:sz="4" w:space="0"/>
              <w:left w:val="single" w:color="000000" w:sz="4" w:space="0"/>
              <w:bottom w:val="single" w:color="000000" w:sz="4" w:space="0"/>
              <w:right w:val="single" w:color="000000" w:sz="4" w:space="0"/>
            </w:tcBorders>
            <w:tcW w:w="498" w:type="dxa"/>
            <w:vAlign w:val="center"/>
            <w:textDirection w:val="lrTb"/>
            <w:noWrap w:val="false"/>
          </w:tcPr>
          <w:p>
            <w:pPr>
              <w:pStyle w:val="1336"/>
              <w:ind w:firstLine="12"/>
              <w:jc w:val="center"/>
              <w:rPr>
                <w:rFonts w:ascii="Times New Roman" w:hAnsi="Times New Roman" w:cs="Times New Roman"/>
                <w:sz w:val="18"/>
                <w:szCs w:val="18"/>
              </w:rPr>
            </w:pPr>
            <w:r>
              <w:rPr>
                <w:rFonts w:ascii="Times New Roman" w:hAnsi="Times New Roman" w:cs="Times New Roman"/>
                <w:sz w:val="18"/>
                <w:szCs w:val="18"/>
              </w:rPr>
              <w:t xml:space="preserve">3</w:t>
            </w:r>
            <w:r>
              <w:rPr>
                <w:rFonts w:ascii="Times New Roman" w:hAnsi="Times New Roman" w:cs="Times New Roman"/>
                <w:sz w:val="18"/>
                <w:szCs w:val="18"/>
              </w:rPr>
            </w:r>
          </w:p>
        </w:tc>
        <w:tc>
          <w:tcPr>
            <w:tcBorders>
              <w:top w:val="single" w:color="000000" w:sz="4" w:space="0"/>
              <w:left w:val="single" w:color="000000" w:sz="4" w:space="0"/>
              <w:bottom w:val="single" w:color="000000" w:sz="4" w:space="0"/>
              <w:right w:val="single" w:color="000000" w:sz="4" w:space="0"/>
            </w:tcBorders>
            <w:tcW w:w="3332" w:type="dxa"/>
            <w:vAlign w:val="center"/>
            <w:textDirection w:val="lrTb"/>
            <w:noWrap w:val="false"/>
          </w:tcPr>
          <w:p>
            <w:pPr>
              <w:spacing w:after="0"/>
              <w:rPr>
                <w:rFonts w:eastAsia="Calibri"/>
                <w:b/>
                <w:bCs/>
                <w:sz w:val="20"/>
                <w:szCs w:val="20"/>
                <w:lang w:eastAsia="en-US"/>
              </w:rPr>
            </w:pPr>
            <w:r>
              <w:rPr>
                <w:rFonts w:eastAsia="Calibri"/>
                <w:b/>
                <w:bCs/>
                <w:sz w:val="20"/>
                <w:szCs w:val="20"/>
              </w:rPr>
              <w:t xml:space="preserve">Наличие квалифицированных кадровых ресурсов (</w:t>
            </w:r>
            <w:r>
              <w:rPr>
                <w:rFonts w:eastAsia="Calibri"/>
                <w:b/>
                <w:bCs/>
                <w:sz w:val="20"/>
                <w:szCs w:val="20"/>
                <w:lang w:val="en-US"/>
              </w:rPr>
              <w:t xml:space="preserve">R</w:t>
            </w:r>
            <w:r>
              <w:rPr>
                <w:rFonts w:eastAsia="Calibri"/>
                <w:b/>
                <w:bCs/>
                <w:sz w:val="20"/>
                <w:szCs w:val="20"/>
                <w:vertAlign w:val="subscript"/>
                <w:lang w:val="en-US"/>
              </w:rPr>
              <w:t xml:space="preserve">ki</w:t>
            </w:r>
            <w:r>
              <w:rPr>
                <w:rFonts w:eastAsia="Calibri"/>
                <w:b/>
                <w:bCs/>
                <w:sz w:val="20"/>
                <w:szCs w:val="20"/>
              </w:rPr>
              <w:t xml:space="preserve">)</w:t>
            </w:r>
            <w:r>
              <w:rPr>
                <w:rFonts w:eastAsia="Calibri"/>
                <w:b/>
                <w:bCs/>
                <w:sz w:val="20"/>
                <w:szCs w:val="20"/>
                <w:lang w:eastAsia="en-US"/>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1336"/>
              <w:ind w:firstLine="0"/>
              <w:jc w:val="center"/>
              <w:rPr>
                <w:rFonts w:ascii="Times New Roman" w:hAnsi="Times New Roman" w:cs="Times New Roman"/>
                <w:i/>
                <w:highlight w:val="white"/>
              </w:rPr>
            </w:pPr>
            <w:r>
              <w:rPr>
                <w:rFonts w:ascii="Times New Roman" w:hAnsi="Times New Roman" w:eastAsia="Calibri" w:cs="Times New Roman"/>
              </w:rPr>
              <w:t xml:space="preserve">0,1 (</w:t>
            </w:r>
            <w:r>
              <w:rPr>
                <w:rFonts w:ascii="Times New Roman" w:hAnsi="Times New Roman" w:eastAsia="Calibri" w:cs="Times New Roman"/>
                <w:lang w:val="en-US"/>
              </w:rPr>
              <w:t xml:space="preserve">Vk</w:t>
            </w:r>
            <w:r>
              <w:rPr>
                <w:rFonts w:ascii="Times New Roman" w:hAnsi="Times New Roman" w:eastAsia="Calibri" w:cs="Times New Roman"/>
              </w:rPr>
              <w:t xml:space="preserve">)</w:t>
            </w:r>
            <w:r>
              <w:rPr>
                <w:rFonts w:ascii="Times New Roman" w:hAnsi="Times New Roman" w:cs="Times New Roman"/>
                <w:i/>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1419" w:type="dxa"/>
            <w:vAlign w:val="center"/>
            <w:textDirection w:val="lrTb"/>
            <w:noWrap w:val="false"/>
          </w:tcPr>
          <w:p>
            <w:pPr>
              <w:pStyle w:val="1336"/>
              <w:ind w:firstLine="13"/>
              <w:jc w:val="center"/>
              <w:rPr>
                <w:rFonts w:ascii="Times New Roman" w:hAnsi="Times New Roman" w:cs="Times New Roman"/>
                <w:i/>
                <w:highlight w:val="white"/>
              </w:rPr>
            </w:pPr>
            <w:r>
              <w:rPr>
                <w:rFonts w:ascii="Times New Roman" w:hAnsi="Times New Roman" w:cs="Times New Roman"/>
              </w:rPr>
              <w:t xml:space="preserve">100</w:t>
            </w:r>
            <w:r>
              <w:rPr>
                <w:rFonts w:ascii="Times New Roman" w:hAnsi="Times New Roman" w:cs="Times New Roman"/>
                <w:i/>
                <w:highlight w:val="white"/>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3084" w:type="dxa"/>
            <w:vAlign w:val="center"/>
            <w:textDirection w:val="lrTb"/>
            <w:noWrap w:val="false"/>
          </w:tcPr>
          <w:p>
            <w:pPr>
              <w:ind w:right="-16"/>
              <w:jc w:val="center"/>
              <w:widowControl w:val="off"/>
              <w:rPr>
                <w:sz w:val="20"/>
                <w:szCs w:val="20"/>
                <w:highlight w:val="white"/>
              </w:rPr>
            </w:pPr>
            <w:r>
              <w:rPr>
                <w:sz w:val="20"/>
                <w:szCs w:val="20"/>
                <w:highlight w:val="white"/>
              </w:rPr>
              <w:t xml:space="preserve">Пункт 5 Приложения №1 к части II «ИНФОРМАЦИОННАЯ КАРТА ЗАКУПКИ»</w:t>
            </w:r>
            <w:r>
              <w:rPr>
                <w:sz w:val="20"/>
                <w:szCs w:val="20"/>
                <w:highlight w:val="white"/>
              </w:rPr>
            </w:r>
          </w:p>
        </w:tc>
      </w:tr>
      <w:tr>
        <w:tblPrEx/>
        <w:trPr>
          <w:trHeight w:val="383"/>
        </w:trPr>
        <w:tc>
          <w:tcPr>
            <w:tcBorders>
              <w:top w:val="single" w:color="000000" w:sz="4" w:space="0"/>
              <w:left w:val="single" w:color="000000" w:sz="4" w:space="0"/>
              <w:bottom w:val="single" w:color="000000" w:sz="4" w:space="0"/>
              <w:right w:val="single" w:color="000000" w:sz="4" w:space="0"/>
            </w:tcBorders>
            <w:tcW w:w="498" w:type="dxa"/>
            <w:vAlign w:val="center"/>
            <w:textDirection w:val="lrTb"/>
            <w:noWrap w:val="false"/>
          </w:tcPr>
          <w:p>
            <w:pPr>
              <w:pStyle w:val="1336"/>
              <w:ind w:firstLine="12"/>
              <w:jc w:val="center"/>
              <w:rPr>
                <w:rFonts w:ascii="Times New Roman" w:hAnsi="Times New Roman" w:cs="Times New Roman"/>
                <w:sz w:val="18"/>
                <w:szCs w:val="18"/>
              </w:rPr>
            </w:pPr>
            <w:r>
              <w:rPr>
                <w:rFonts w:ascii="Times New Roman" w:hAnsi="Times New Roman" w:cs="Times New Roman"/>
                <w:sz w:val="18"/>
                <w:szCs w:val="18"/>
              </w:rPr>
              <w:t xml:space="preserve">4</w:t>
            </w:r>
            <w:r>
              <w:rPr>
                <w:rFonts w:ascii="Times New Roman" w:hAnsi="Times New Roman" w:cs="Times New Roman"/>
                <w:sz w:val="18"/>
                <w:szCs w:val="18"/>
              </w:rPr>
            </w:r>
          </w:p>
        </w:tc>
        <w:tc>
          <w:tcPr>
            <w:tcBorders>
              <w:top w:val="single" w:color="000000" w:sz="4" w:space="0"/>
              <w:left w:val="single" w:color="000000" w:sz="4" w:space="0"/>
              <w:bottom w:val="single" w:color="000000" w:sz="4" w:space="0"/>
              <w:right w:val="single" w:color="000000" w:sz="4" w:space="0"/>
            </w:tcBorders>
            <w:tcW w:w="3332" w:type="dxa"/>
            <w:vAlign w:val="center"/>
            <w:textDirection w:val="lrTb"/>
            <w:noWrap w:val="false"/>
          </w:tcPr>
          <w:p>
            <w:pPr>
              <w:spacing w:after="0" w:line="276" w:lineRule="auto"/>
              <w:rPr>
                <w:b/>
                <w:bCs/>
                <w:sz w:val="20"/>
                <w:szCs w:val="20"/>
                <w:lang w:eastAsia="en-US"/>
              </w:rPr>
            </w:pPr>
            <w:r>
              <w:rPr>
                <w:b/>
                <w:bCs/>
                <w:sz w:val="20"/>
                <w:szCs w:val="20"/>
              </w:rPr>
              <w:t xml:space="preserve">Наличие полномочий от производителей продукции (R</w:t>
            </w:r>
            <w:r>
              <w:rPr>
                <w:b/>
                <w:bCs/>
                <w:sz w:val="20"/>
                <w:szCs w:val="20"/>
                <w:vertAlign w:val="subscript"/>
                <w:lang w:val="en-US"/>
              </w:rPr>
              <w:t xml:space="preserve">t</w:t>
            </w:r>
            <w:r>
              <w:rPr>
                <w:b/>
                <w:bCs/>
                <w:sz w:val="20"/>
                <w:szCs w:val="20"/>
                <w:vertAlign w:val="subscript"/>
              </w:rPr>
              <w:t xml:space="preserve">i</w:t>
            </w:r>
            <w:r>
              <w:rPr>
                <w:b/>
                <w:bCs/>
                <w:sz w:val="20"/>
                <w:szCs w:val="20"/>
              </w:rPr>
              <w:t xml:space="preserve">)</w:t>
            </w:r>
            <w:r>
              <w:rPr>
                <w:b/>
                <w:bCs/>
                <w:sz w:val="20"/>
                <w:szCs w:val="20"/>
                <w:lang w:eastAsia="en-US"/>
              </w:rPr>
            </w:r>
          </w:p>
        </w:tc>
        <w:tc>
          <w:tcPr>
            <w:tcBorders>
              <w:top w:val="single" w:color="000000" w:sz="4" w:space="0"/>
              <w:left w:val="single" w:color="000000" w:sz="4" w:space="0"/>
              <w:bottom w:val="single" w:color="000000" w:sz="4" w:space="0"/>
              <w:right w:val="single" w:color="000000" w:sz="4" w:space="0"/>
            </w:tcBorders>
            <w:tcW w:w="1135" w:type="dxa"/>
            <w:vAlign w:val="center"/>
            <w:textDirection w:val="lrTb"/>
            <w:noWrap w:val="false"/>
          </w:tcPr>
          <w:p>
            <w:pPr>
              <w:pStyle w:val="1336"/>
              <w:ind w:firstLine="0"/>
              <w:jc w:val="center"/>
              <w:rPr>
                <w:rFonts w:ascii="Times New Roman" w:hAnsi="Times New Roman" w:eastAsia="Calibri" w:cs="Times New Roman"/>
              </w:rPr>
            </w:pPr>
            <w:r>
              <w:rPr>
                <w:rFonts w:ascii="Times New Roman" w:hAnsi="Times New Roman" w:eastAsia="Calibri" w:cs="Times New Roman"/>
              </w:rPr>
              <w:t xml:space="preserve">0,1 (</w:t>
            </w:r>
            <w:r>
              <w:rPr>
                <w:rFonts w:ascii="Times New Roman" w:hAnsi="Times New Roman" w:eastAsia="Calibri" w:cs="Times New Roman"/>
              </w:rPr>
              <w:t xml:space="preserve">Vt</w:t>
            </w:r>
            <w:r>
              <w:rPr>
                <w:rFonts w:ascii="Times New Roman" w:hAnsi="Times New Roman" w:eastAsia="Calibri" w:cs="Times New Roman"/>
              </w:rPr>
              <w:t xml:space="preserve">)</w:t>
            </w:r>
            <w:r>
              <w:rPr>
                <w:rFonts w:ascii="Times New Roman" w:hAnsi="Times New Roman" w:eastAsia="Calibri" w:cs="Times New Roman"/>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1419" w:type="dxa"/>
            <w:vAlign w:val="center"/>
            <w:textDirection w:val="lrTb"/>
            <w:noWrap w:val="false"/>
          </w:tcPr>
          <w:p>
            <w:pPr>
              <w:pStyle w:val="1336"/>
              <w:ind w:firstLine="13"/>
              <w:jc w:val="center"/>
              <w:rPr>
                <w:rFonts w:ascii="Times New Roman" w:hAnsi="Times New Roman" w:cs="Times New Roman"/>
              </w:rPr>
            </w:pPr>
            <w:r>
              <w:rPr>
                <w:rFonts w:ascii="Times New Roman" w:hAnsi="Times New Roman" w:cs="Times New Roman"/>
              </w:rPr>
              <w:t xml:space="preserve">100</w:t>
            </w:r>
            <w:r>
              <w:rPr>
                <w:rFonts w:ascii="Times New Roman" w:hAnsi="Times New Roman" w:cs="Times New Roman"/>
              </w:rPr>
            </w:r>
          </w:p>
        </w:tc>
        <w:tc>
          <w:tcPr>
            <w:tcBorders>
              <w:top w:val="single" w:color="000000" w:sz="4" w:space="0"/>
              <w:left w:val="single" w:color="000000" w:sz="4" w:space="0"/>
              <w:bottom w:val="single" w:color="000000" w:sz="4" w:space="0"/>
              <w:right w:val="single" w:color="000000" w:sz="4" w:space="0"/>
            </w:tcBorders>
            <w:tcMar>
              <w:left w:w="5" w:type="dxa"/>
              <w:right w:w="5" w:type="dxa"/>
            </w:tcMar>
            <w:tcW w:w="3084" w:type="dxa"/>
            <w:vAlign w:val="center"/>
            <w:textDirection w:val="lrTb"/>
            <w:noWrap w:val="false"/>
          </w:tcPr>
          <w:p>
            <w:pPr>
              <w:ind w:right="-16"/>
              <w:jc w:val="center"/>
              <w:widowControl w:val="off"/>
              <w:rPr>
                <w:sz w:val="20"/>
                <w:szCs w:val="20"/>
                <w:highlight w:val="white"/>
              </w:rPr>
            </w:pPr>
            <w:r>
              <w:rPr>
                <w:sz w:val="20"/>
                <w:szCs w:val="20"/>
                <w:highlight w:val="white"/>
              </w:rPr>
              <w:t xml:space="preserve">Пункт 5 Приложения №1 к части II «ИНФОРМАЦИОННАЯ КАРТА ЗАКУПКИ»</w:t>
            </w:r>
            <w:r>
              <w:rPr>
                <w:sz w:val="20"/>
                <w:szCs w:val="20"/>
                <w:highlight w:val="white"/>
              </w:rPr>
            </w:r>
          </w:p>
        </w:tc>
      </w:tr>
    </w:tbl>
    <w:p>
      <w:pPr>
        <w:jc w:val="left"/>
        <w:spacing w:after="0"/>
      </w:pPr>
      <w:r/>
      <w:r/>
    </w:p>
    <w:p>
      <w:pPr>
        <w:pStyle w:val="1352"/>
        <w:numPr>
          <w:ilvl w:val="0"/>
          <w:numId w:val="11"/>
        </w:numPr>
        <w:contextualSpacing/>
        <w:ind w:left="0" w:right="159" w:firstLine="709"/>
        <w:jc w:val="both"/>
        <w:spacing w:after="120"/>
        <w:shd w:val="clear" w:color="auto" w:fill="ffffff"/>
        <w:rPr>
          <w:rFonts w:eastAsia="Calibri"/>
          <w:lang w:eastAsia="en-US"/>
        </w:rPr>
      </w:pPr>
      <w:r>
        <w:rPr>
          <w:rFonts w:eastAsia="Calibri"/>
          <w:lang w:eastAsia="en-US"/>
        </w:rPr>
        <w:t xml:space="preserve">Полученные расчетные значения оценки по каждому критерию (ценовому и неценовым), применяются для расчета итоговой оценки предпочтительности заявки участника (итогового рейтинга заявки)</w:t>
      </w:r>
      <w:r>
        <w:rPr>
          <w:rStyle w:val="1166"/>
          <w:rFonts w:eastAsia="Calibri"/>
          <w:lang w:eastAsia="en-US"/>
        </w:rPr>
        <w:footnoteReference w:id="5"/>
      </w:r>
      <w:r>
        <w:rPr>
          <w:rFonts w:eastAsia="Calibri"/>
          <w:lang w:eastAsia="en-US"/>
        </w:rPr>
        <w:t xml:space="preserve">. Данный показатель рассчитывается как сумма полученных балльных оценок с учетом их весовых коэффициентов:</w:t>
      </w:r>
      <w:r>
        <w:rPr>
          <w:rFonts w:eastAsia="Calibri"/>
          <w:lang w:eastAsia="en-US"/>
        </w:rPr>
      </w:r>
    </w:p>
    <w:p>
      <w:pPr>
        <w:ind w:firstLine="851"/>
        <w:jc w:val="center"/>
        <w:spacing w:after="120"/>
        <w:rPr>
          <w:i/>
        </w:rPr>
      </w:pPr>
      <w:r>
        <w:rPr>
          <w:bCs/>
          <w:i/>
          <w:lang w:val="en-US"/>
        </w:rPr>
        <w:t xml:space="preserve">R</w:t>
      </w:r>
      <w:r>
        <w:rPr>
          <w:bCs/>
          <w:i/>
          <w:vertAlign w:val="subscript"/>
          <w:lang w:val="en-US"/>
        </w:rPr>
        <w:t xml:space="preserve">i</w:t>
      </w:r>
      <w:r>
        <w:rPr>
          <w:bCs/>
          <w:i/>
        </w:rPr>
        <w:t xml:space="preserve"> </w:t>
      </w:r>
      <w:r>
        <w:rPr>
          <w:i/>
        </w:rPr>
        <w:t xml:space="preserve">= (</w:t>
      </w:r>
      <w:r>
        <w:rPr>
          <w:i/>
          <w:lang w:val="en-US"/>
        </w:rPr>
        <w:t xml:space="preserve">R</w:t>
      </w:r>
      <w:r>
        <w:rPr>
          <w:i/>
          <w:iCs/>
          <w:vertAlign w:val="subscript"/>
          <w:lang w:val="en-US"/>
        </w:rPr>
        <w:t xml:space="preserve">si</w:t>
      </w:r>
      <w:r>
        <w:rPr>
          <w:i/>
          <w:vertAlign w:val="subscript"/>
        </w:rPr>
        <w:t xml:space="preserve"> </w:t>
      </w:r>
      <w:r>
        <w:rPr>
          <w:i/>
          <w:lang w:val="en-US"/>
        </w:rPr>
        <w:t xml:space="preserve">x</w:t>
      </w:r>
      <w:r>
        <w:rPr>
          <w:i/>
        </w:rPr>
        <w:t xml:space="preserve"> </w:t>
      </w:r>
      <w:r>
        <w:rPr>
          <w:i/>
          <w:lang w:val="en-US"/>
        </w:rPr>
        <w:t xml:space="preserve">V</w:t>
      </w:r>
      <w:r>
        <w:rPr>
          <w:i/>
          <w:vertAlign w:val="subscript"/>
          <w:lang w:val="en-US"/>
        </w:rPr>
        <w:t xml:space="preserve">s</w:t>
      </w:r>
      <w:r>
        <w:rPr>
          <w:i/>
        </w:rPr>
        <w:t xml:space="preserve">) + (</w:t>
      </w:r>
      <w:r>
        <w:rPr>
          <w:i/>
          <w:lang w:val="en-US"/>
        </w:rPr>
        <w:t xml:space="preserve">R</w:t>
      </w:r>
      <w:r>
        <w:rPr>
          <w:i/>
          <w:iCs/>
          <w:vertAlign w:val="subscript"/>
          <w:lang w:val="en-US"/>
        </w:rPr>
        <w:t xml:space="preserve">oi</w:t>
      </w:r>
      <w:r>
        <w:rPr>
          <w:i/>
        </w:rPr>
        <w:t xml:space="preserve"> </w:t>
      </w:r>
      <w:r>
        <w:rPr>
          <w:i/>
          <w:lang w:val="en-US"/>
        </w:rPr>
        <w:t xml:space="preserve">x</w:t>
      </w:r>
      <w:r>
        <w:rPr>
          <w:i/>
        </w:rPr>
        <w:t xml:space="preserve"> </w:t>
      </w:r>
      <w:r>
        <w:rPr>
          <w:i/>
          <w:lang w:val="en-US"/>
        </w:rPr>
        <w:t xml:space="preserve">V</w:t>
      </w:r>
      <w:r>
        <w:rPr>
          <w:i/>
          <w:vertAlign w:val="subscript"/>
          <w:lang w:val="en-US"/>
        </w:rPr>
        <w:t xml:space="preserve">o</w:t>
      </w:r>
      <w:r>
        <w:rPr>
          <w:i/>
        </w:rPr>
        <w:t xml:space="preserve">) + (</w:t>
      </w:r>
      <w:r>
        <w:rPr>
          <w:i/>
          <w:lang w:val="en-US"/>
        </w:rPr>
        <w:t xml:space="preserve">R</w:t>
      </w:r>
      <w:r>
        <w:rPr>
          <w:i/>
          <w:iCs/>
          <w:vertAlign w:val="subscript"/>
          <w:lang w:val="en-US"/>
        </w:rPr>
        <w:t xml:space="preserve">ki</w:t>
      </w:r>
      <w:r>
        <w:rPr>
          <w:i/>
        </w:rPr>
        <w:t xml:space="preserve"> </w:t>
      </w:r>
      <w:r>
        <w:rPr>
          <w:i/>
          <w:lang w:val="en-US"/>
        </w:rPr>
        <w:t xml:space="preserve">x</w:t>
      </w:r>
      <w:r>
        <w:rPr>
          <w:i/>
        </w:rPr>
        <w:t xml:space="preserve"> </w:t>
      </w:r>
      <w:r>
        <w:rPr>
          <w:i/>
          <w:lang w:val="en-US"/>
        </w:rPr>
        <w:t xml:space="preserve">V</w:t>
      </w:r>
      <w:r>
        <w:rPr>
          <w:i/>
          <w:vertAlign w:val="subscript"/>
          <w:lang w:val="en-US"/>
        </w:rPr>
        <w:t xml:space="preserve">k</w:t>
      </w:r>
      <w:r>
        <w:rPr>
          <w:i/>
        </w:rPr>
        <w:t xml:space="preserve">) + (</w:t>
      </w:r>
      <w:r>
        <w:rPr>
          <w:i/>
          <w:lang w:val="en-US"/>
        </w:rPr>
        <w:t xml:space="preserve">R</w:t>
      </w:r>
      <w:r>
        <w:rPr>
          <w:i/>
          <w:iCs/>
          <w:vertAlign w:val="subscript"/>
          <w:lang w:val="en-US"/>
        </w:rPr>
        <w:t xml:space="preserve">ki</w:t>
      </w:r>
      <w:r>
        <w:rPr>
          <w:i/>
        </w:rPr>
        <w:t xml:space="preserve"> </w:t>
      </w:r>
      <w:r>
        <w:rPr>
          <w:i/>
          <w:lang w:val="en-US"/>
        </w:rPr>
        <w:t xml:space="preserve">x</w:t>
      </w:r>
      <w:r>
        <w:rPr>
          <w:i/>
        </w:rPr>
        <w:t xml:space="preserve"> </w:t>
      </w:r>
      <w:r>
        <w:rPr>
          <w:i/>
          <w:lang w:val="en-US"/>
        </w:rPr>
        <w:t xml:space="preserve">V</w:t>
      </w:r>
      <w:r>
        <w:rPr>
          <w:i/>
          <w:vertAlign w:val="subscript"/>
          <w:lang w:val="en-US"/>
        </w:rPr>
        <w:t xml:space="preserve">t</w:t>
      </w:r>
      <w:r>
        <w:rPr>
          <w:i/>
        </w:rPr>
        <w:t xml:space="preserve">), где:</w:t>
      </w:r>
      <w:r>
        <w:rPr>
          <w:i/>
        </w:rPr>
      </w:r>
    </w:p>
    <w:p>
      <w:pPr>
        <w:ind w:left="1418"/>
        <w:spacing w:after="0"/>
        <w:rPr>
          <w:sz w:val="20"/>
          <w:szCs w:val="20"/>
        </w:rPr>
      </w:pPr>
      <w:r>
        <w:rPr>
          <w:bCs/>
        </w:rPr>
        <w:t xml:space="preserve">Ri</w:t>
      </w:r>
      <w:r>
        <w:rPr>
          <w:bCs/>
        </w:rPr>
        <w:t xml:space="preserve">  </w:t>
      </w:r>
      <w:r>
        <w:t xml:space="preserve">  - общий рейтинг предпочтительности i-й заявки;</w:t>
      </w:r>
      <w:r>
        <w:rPr>
          <w:sz w:val="20"/>
          <w:szCs w:val="20"/>
        </w:rPr>
      </w:r>
    </w:p>
    <w:p>
      <w:pPr>
        <w:ind w:left="1418"/>
        <w:spacing w:after="0"/>
        <w:rPr>
          <w:sz w:val="20"/>
          <w:szCs w:val="20"/>
        </w:rPr>
      </w:pPr>
      <w:r>
        <w:rPr>
          <w:lang w:val="en-US"/>
        </w:rPr>
        <w:t xml:space="preserve">R</w:t>
      </w:r>
      <w:r>
        <w:rPr>
          <w:i/>
          <w:iCs/>
          <w:vertAlign w:val="subscript"/>
          <w:lang w:val="en-US"/>
        </w:rPr>
        <w:t xml:space="preserve">si</w:t>
      </w:r>
      <w:r>
        <w:rPr>
          <w:vertAlign w:val="subscript"/>
        </w:rPr>
        <w:t xml:space="preserve"> </w:t>
      </w:r>
      <w:r>
        <w:rPr>
          <w:lang w:val="en-US"/>
        </w:rPr>
        <w:t xml:space="preserve"> </w:t>
      </w:r>
      <w:r>
        <w:t xml:space="preserve">-</w:t>
      </w:r>
      <w:r>
        <w:t xml:space="preserve">  оценка в баллах по критерию «Цена заявки (рейтинг по критерию стоимости)»;</w:t>
      </w:r>
      <w:r>
        <w:rPr>
          <w:sz w:val="20"/>
          <w:szCs w:val="20"/>
        </w:rPr>
      </w:r>
    </w:p>
    <w:p>
      <w:pPr>
        <w:ind w:left="1418"/>
        <w:spacing w:after="0"/>
        <w:rPr>
          <w:sz w:val="20"/>
          <w:szCs w:val="20"/>
        </w:rPr>
      </w:pPr>
      <w:r>
        <w:t xml:space="preserve">R</w:t>
      </w:r>
      <w:r>
        <w:rPr>
          <w:vertAlign w:val="subscript"/>
          <w:lang w:val="en-US"/>
        </w:rPr>
        <w:t xml:space="preserve">o</w:t>
      </w:r>
      <w:r>
        <w:rPr>
          <w:vertAlign w:val="subscript"/>
        </w:rPr>
        <w:t xml:space="preserve">i</w:t>
      </w:r>
      <w:r>
        <w:t xml:space="preserve"> -  оценка в баллах по критерию «</w:t>
      </w:r>
      <w:r>
        <w:t xml:space="preserve">Опыт оказания аналогичных услуг</w:t>
      </w:r>
      <w:r>
        <w:t xml:space="preserve">»; </w:t>
      </w:r>
      <w:r>
        <w:rPr>
          <w:sz w:val="20"/>
          <w:szCs w:val="20"/>
        </w:rPr>
      </w:r>
    </w:p>
    <w:p>
      <w:pPr>
        <w:ind w:left="1418"/>
        <w:spacing w:after="0"/>
      </w:pPr>
      <w:r>
        <w:t xml:space="preserve">R</w:t>
      </w:r>
      <w:r>
        <w:rPr>
          <w:vertAlign w:val="subscript"/>
          <w:lang w:val="en-US"/>
        </w:rPr>
        <w:t xml:space="preserve">k</w:t>
      </w:r>
      <w:r>
        <w:rPr>
          <w:vertAlign w:val="subscript"/>
        </w:rPr>
        <w:t xml:space="preserve">i</w:t>
      </w:r>
      <w:r>
        <w:t xml:space="preserve"> -  оценка в баллах по критерию «Наличие кадровых ресурсов»; </w:t>
      </w:r>
      <w:r/>
    </w:p>
    <w:p>
      <w:pPr>
        <w:ind w:left="1418"/>
        <w:spacing w:after="0"/>
        <w:rPr>
          <w:sz w:val="20"/>
          <w:szCs w:val="20"/>
        </w:rPr>
      </w:pPr>
      <w:r>
        <w:t xml:space="preserve">R</w:t>
      </w:r>
      <w:r>
        <w:rPr>
          <w:vertAlign w:val="subscript"/>
          <w:lang w:val="en-US"/>
        </w:rPr>
        <w:t xml:space="preserve">ti</w:t>
      </w:r>
      <w:r>
        <w:t xml:space="preserve"> -  оценка в баллах по критерию «Наличие полномочий от производителей продукции»;</w:t>
      </w:r>
      <w:r>
        <w:rPr>
          <w:sz w:val="20"/>
          <w:szCs w:val="20"/>
        </w:rPr>
      </w:r>
    </w:p>
    <w:p>
      <w:pPr>
        <w:ind w:left="1418"/>
        <w:spacing w:after="0"/>
        <w:rPr>
          <w:rFonts w:eastAsia="Calibri"/>
          <w:sz w:val="20"/>
          <w:szCs w:val="20"/>
          <w:lang w:eastAsia="en-US"/>
        </w:rPr>
      </w:pPr>
      <w:r>
        <w:t xml:space="preserve">Vs</w:t>
      </w:r>
      <w:r>
        <w:t xml:space="preserve">, </w:t>
      </w:r>
      <w:r>
        <w:t xml:space="preserve">Vo</w:t>
      </w:r>
      <w:r>
        <w:t xml:space="preserve">, </w:t>
      </w:r>
      <w:r>
        <w:rPr>
          <w:lang w:val="en-US"/>
        </w:rPr>
        <w:t xml:space="preserve">Vk</w:t>
      </w:r>
      <w:r>
        <w:t xml:space="preserve">, </w:t>
      </w:r>
      <w:r>
        <w:rPr>
          <w:lang w:val="en-US"/>
        </w:rPr>
        <w:t xml:space="preserve">Vt</w:t>
      </w:r>
      <w:r>
        <w:t xml:space="preserve"> – весовые коэффициенты соответствующих критериев</w:t>
      </w:r>
      <w:r>
        <w:rPr>
          <w:rFonts w:eastAsia="Calibri"/>
          <w:sz w:val="20"/>
          <w:szCs w:val="20"/>
          <w:lang w:eastAsia="en-US"/>
        </w:rPr>
        <w:t xml:space="preserve">.</w:t>
      </w:r>
      <w:r>
        <w:rPr>
          <w:rFonts w:eastAsia="Calibri"/>
          <w:sz w:val="20"/>
          <w:szCs w:val="20"/>
          <w:lang w:eastAsia="en-US"/>
        </w:rPr>
      </w:r>
    </w:p>
    <w:p>
      <w:pPr>
        <w:ind w:firstLine="851"/>
        <w:widowControl w:val="off"/>
        <w:tabs>
          <w:tab w:val="left" w:pos="0" w:leader="none"/>
          <w:tab w:val="left" w:pos="1560" w:leader="none"/>
        </w:tabs>
        <w:rPr>
          <w:rFonts w:eastAsia="Calibri"/>
          <w:sz w:val="20"/>
          <w:szCs w:val="20"/>
        </w:rPr>
      </w:pPr>
      <w:r>
        <w:rPr>
          <w:rFonts w:eastAsia="Calibri"/>
          <w:sz w:val="20"/>
          <w:szCs w:val="20"/>
        </w:rPr>
      </w:r>
      <w:r>
        <w:rPr>
          <w:rFonts w:eastAsia="Calibri"/>
          <w:sz w:val="20"/>
          <w:szCs w:val="20"/>
        </w:rPr>
      </w:r>
    </w:p>
    <w:p>
      <w:pPr>
        <w:pStyle w:val="1352"/>
        <w:numPr>
          <w:ilvl w:val="1"/>
          <w:numId w:val="11"/>
        </w:numPr>
        <w:ind w:left="0" w:firstLine="709"/>
        <w:jc w:val="both"/>
        <w:spacing w:after="120"/>
        <w:widowControl w:val="off"/>
      </w:pPr>
      <w:r>
        <w:t xml:space="preserve">При осуществлении расчета значения по каждому критерию Заказчик осуществляет расчет с точностью до трех знаков после запятой. Полученное значение итогового рейтинга используется для ранжирования заявок по степени предпочтительности. </w:t>
      </w:r>
      <w:r/>
    </w:p>
    <w:p>
      <w:pPr>
        <w:pStyle w:val="1352"/>
        <w:numPr>
          <w:ilvl w:val="0"/>
          <w:numId w:val="11"/>
        </w:numPr>
        <w:ind w:left="0" w:firstLine="709"/>
        <w:jc w:val="both"/>
        <w:spacing w:after="120"/>
        <w:rPr>
          <w:rFonts w:eastAsia="Calibri"/>
          <w:bCs/>
          <w:lang w:eastAsia="en-US"/>
        </w:rPr>
      </w:pPr>
      <w:r>
        <w:rPr>
          <w:rFonts w:eastAsia="Calibri"/>
          <w:bCs/>
          <w:lang w:eastAsia="en-US"/>
        </w:rPr>
        <w:t xml:space="preserve">Расчет рейтинга каждой заявки по критерию «</w:t>
      </w:r>
      <w:r>
        <w:rPr>
          <w:rFonts w:eastAsia="Calibri"/>
          <w:b/>
          <w:bCs/>
          <w:lang w:eastAsia="en-US"/>
        </w:rPr>
        <w:t xml:space="preserve">Цена </w:t>
      </w:r>
      <w:r>
        <w:rPr>
          <w:rFonts w:eastAsia="Calibri"/>
          <w:b/>
          <w:bCs/>
          <w:lang w:eastAsia="en-US"/>
        </w:rPr>
        <w:t xml:space="preserve">заявки</w:t>
      </w:r>
      <w:r>
        <w:rPr>
          <w:rFonts w:eastAsia="Calibri"/>
          <w:bCs/>
          <w:lang w:eastAsia="en-US"/>
        </w:rPr>
        <w:t xml:space="preserve">» (рейтинг по критерию стоимости) (коэффициент </w:t>
      </w:r>
      <w:r>
        <w:rPr>
          <w:rFonts w:eastAsia="Calibri"/>
          <w:bCs/>
          <w:lang w:val="en-US" w:eastAsia="en-US"/>
        </w:rPr>
        <w:t xml:space="preserve">R</w:t>
      </w:r>
      <w:r>
        <w:rPr>
          <w:rFonts w:eastAsia="Calibri"/>
          <w:bCs/>
          <w:i/>
          <w:lang w:val="en-US" w:eastAsia="en-US"/>
        </w:rPr>
        <w:t xml:space="preserve">si</w:t>
      </w:r>
      <w:r>
        <w:rPr>
          <w:rFonts w:eastAsia="Calibri"/>
          <w:bCs/>
          <w:lang w:eastAsia="en-US"/>
        </w:rPr>
        <w:t xml:space="preserve"> i-й заявки) производится по следующей формуле: </w:t>
      </w:r>
      <w:r>
        <w:rPr>
          <w:rFonts w:eastAsia="Calibri"/>
          <w:bCs/>
          <w:lang w:eastAsia="en-US"/>
        </w:rPr>
      </w:r>
    </w:p>
    <w:p>
      <w:pPr>
        <w:ind w:firstLine="709"/>
        <w:tabs>
          <w:tab w:val="left" w:pos="142" w:leader="none"/>
          <w:tab w:val="left" w:pos="1701" w:leader="none"/>
        </w:tabs>
        <w:rPr>
          <w:rFonts w:eastAsia="Calibri"/>
          <w:bCs/>
          <w:i/>
          <w:sz w:val="22"/>
          <w:szCs w:val="22"/>
          <w:lang w:val="en-US" w:eastAsia="en-US"/>
        </w:rPr>
      </w:pPr>
      <w:r>
        <w:rPr>
          <w:rFonts w:eastAsia="Calibri"/>
          <w:bCs/>
          <w:i/>
          <w:sz w:val="22"/>
          <w:szCs w:val="22"/>
          <w:lang w:eastAsia="en-US"/>
        </w:rPr>
        <w:t xml:space="preserve">                                                     </w:t>
      </w:r>
      <w:r>
        <w:rPr>
          <w:rFonts w:eastAsia="Calibri"/>
          <w:bCs/>
          <w:i/>
          <w:sz w:val="22"/>
          <w:szCs w:val="22"/>
          <w:lang w:val="en-US" w:eastAsia="en-US"/>
        </w:rPr>
        <w:t xml:space="preserve">S</w:t>
      </w:r>
      <w:r>
        <w:rPr>
          <w:rFonts w:eastAsia="Calibri"/>
          <w:bCs/>
          <w:i/>
          <w:sz w:val="22"/>
          <w:szCs w:val="22"/>
          <w:vertAlign w:val="subscript"/>
          <w:lang w:val="en-US" w:eastAsia="en-US"/>
        </w:rPr>
        <w:t xml:space="preserve">max</w:t>
      </w:r>
      <w:r>
        <w:rPr>
          <w:rFonts w:eastAsia="Calibri"/>
          <w:bCs/>
          <w:i/>
          <w:sz w:val="22"/>
          <w:szCs w:val="22"/>
          <w:lang w:val="en-US" w:eastAsia="en-US"/>
        </w:rPr>
        <w:t xml:space="preserve"> - S</w:t>
      </w:r>
      <w:r>
        <w:rPr>
          <w:rFonts w:eastAsia="Calibri"/>
          <w:bCs/>
          <w:i/>
          <w:sz w:val="22"/>
          <w:szCs w:val="22"/>
          <w:vertAlign w:val="subscript"/>
          <w:lang w:val="en-US" w:eastAsia="en-US"/>
        </w:rPr>
        <w:t xml:space="preserve">i</w:t>
      </w:r>
      <w:r>
        <w:rPr>
          <w:rFonts w:eastAsia="Calibri"/>
          <w:bCs/>
          <w:i/>
          <w:sz w:val="22"/>
          <w:szCs w:val="22"/>
          <w:lang w:val="en-US" w:eastAsia="en-US"/>
        </w:rPr>
      </w:r>
    </w:p>
    <w:p>
      <w:pPr>
        <w:ind w:firstLine="709"/>
        <w:tabs>
          <w:tab w:val="left" w:pos="142" w:leader="none"/>
          <w:tab w:val="left" w:pos="1701" w:leader="none"/>
        </w:tabs>
        <w:rPr>
          <w:rFonts w:eastAsia="Calibri"/>
          <w:bCs/>
          <w:i/>
          <w:sz w:val="22"/>
          <w:szCs w:val="22"/>
          <w:lang w:val="en-US" w:eastAsia="en-US"/>
        </w:rPr>
      </w:pPr>
      <w:r>
        <w:rPr>
          <w:rFonts w:eastAsia="Calibri"/>
          <w:bCs/>
          <w:i/>
          <w:sz w:val="22"/>
          <w:szCs w:val="22"/>
          <w:lang w:val="en-US" w:eastAsia="en-US"/>
        </w:rPr>
        <w:t xml:space="preserve">                                      </w:t>
      </w:r>
      <w:r>
        <w:rPr>
          <w:rFonts w:eastAsia="Calibri"/>
          <w:bCs/>
          <w:i/>
          <w:sz w:val="22"/>
          <w:szCs w:val="22"/>
          <w:lang w:val="en-US" w:eastAsia="en-US"/>
        </w:rPr>
        <w:t xml:space="preserve">Rs</w:t>
      </w:r>
      <w:r>
        <w:rPr>
          <w:rFonts w:eastAsia="Calibri"/>
          <w:bCs/>
          <w:i/>
          <w:sz w:val="22"/>
          <w:szCs w:val="22"/>
          <w:vertAlign w:val="subscript"/>
          <w:lang w:val="en-US" w:eastAsia="en-US"/>
        </w:rPr>
        <w:t xml:space="preserve">i</w:t>
      </w:r>
      <w:r>
        <w:rPr>
          <w:rFonts w:eastAsia="Calibri"/>
          <w:bCs/>
          <w:i/>
          <w:sz w:val="22"/>
          <w:szCs w:val="22"/>
          <w:lang w:val="en-US" w:eastAsia="en-US"/>
        </w:rPr>
        <w:t xml:space="preserve">  =</w:t>
      </w:r>
      <w:r>
        <w:rPr>
          <w:rFonts w:eastAsia="Calibri"/>
          <w:bCs/>
          <w:i/>
          <w:sz w:val="22"/>
          <w:szCs w:val="22"/>
          <w:lang w:val="en-US" w:eastAsia="en-US"/>
        </w:rPr>
        <w:t xml:space="preserve"> --------------- x 100,   </w:t>
      </w:r>
      <w:r>
        <w:rPr>
          <w:rFonts w:eastAsia="Calibri"/>
          <w:bCs/>
          <w:i/>
          <w:sz w:val="22"/>
          <w:szCs w:val="22"/>
          <w:lang w:eastAsia="en-US"/>
        </w:rPr>
        <w:t xml:space="preserve">где</w:t>
      </w:r>
      <w:r>
        <w:rPr>
          <w:rFonts w:eastAsia="Calibri"/>
          <w:bCs/>
          <w:i/>
          <w:sz w:val="22"/>
          <w:szCs w:val="22"/>
          <w:lang w:val="en-US" w:eastAsia="en-US"/>
        </w:rPr>
        <w:t xml:space="preserve">:</w:t>
      </w:r>
      <w:r>
        <w:rPr>
          <w:rFonts w:eastAsia="Calibri"/>
          <w:bCs/>
          <w:i/>
          <w:sz w:val="22"/>
          <w:szCs w:val="22"/>
          <w:lang w:val="en-US" w:eastAsia="en-US"/>
        </w:rPr>
      </w:r>
    </w:p>
    <w:p>
      <w:pPr>
        <w:ind w:firstLine="709"/>
        <w:tabs>
          <w:tab w:val="left" w:pos="142" w:leader="none"/>
          <w:tab w:val="left" w:pos="1701" w:leader="none"/>
        </w:tabs>
        <w:rPr>
          <w:rFonts w:eastAsia="Calibri"/>
          <w:i/>
          <w:sz w:val="22"/>
        </w:rPr>
      </w:pPr>
      <w:r>
        <w:rPr>
          <w:rFonts w:eastAsia="Calibri"/>
          <w:bCs/>
          <w:i/>
          <w:sz w:val="22"/>
          <w:szCs w:val="22"/>
          <w:lang w:val="en-US" w:eastAsia="en-US"/>
        </w:rPr>
        <w:t xml:space="preserve">                                                      </w:t>
      </w:r>
      <w:r>
        <w:rPr>
          <w:rFonts w:eastAsia="Calibri"/>
          <w:bCs/>
          <w:i/>
          <w:sz w:val="22"/>
          <w:szCs w:val="22"/>
          <w:lang w:val="en-US" w:eastAsia="en-US"/>
        </w:rPr>
        <w:t xml:space="preserve">S</w:t>
      </w:r>
      <w:r>
        <w:rPr>
          <w:rFonts w:eastAsia="Calibri"/>
          <w:bCs/>
          <w:i/>
          <w:sz w:val="22"/>
          <w:szCs w:val="22"/>
          <w:vertAlign w:val="subscript"/>
          <w:lang w:val="en-US" w:eastAsia="en-US"/>
        </w:rPr>
        <w:t xml:space="preserve">max</w:t>
      </w:r>
      <w:r>
        <w:rPr>
          <w:rFonts w:eastAsia="Calibri"/>
          <w:i/>
          <w:sz w:val="22"/>
        </w:rPr>
      </w:r>
    </w:p>
    <w:p>
      <w:pPr>
        <w:ind w:firstLine="709"/>
        <w:spacing w:after="0"/>
        <w:tabs>
          <w:tab w:val="left" w:pos="142" w:leader="none"/>
          <w:tab w:val="left" w:pos="1560" w:leader="none"/>
        </w:tabs>
        <w:rPr>
          <w:rFonts w:eastAsia="Calibri"/>
          <w:sz w:val="20"/>
        </w:rPr>
      </w:pPr>
      <w:r>
        <w:rPr>
          <w:rFonts w:eastAsia="Calibri"/>
          <w:sz w:val="20"/>
        </w:rPr>
      </w:r>
      <w:r>
        <w:rPr>
          <w:rFonts w:eastAsia="Calibri"/>
          <w:sz w:val="20"/>
        </w:rPr>
      </w:r>
    </w:p>
    <w:p>
      <w:pPr>
        <w:ind w:left="1418"/>
        <w:spacing w:after="0"/>
        <w:tabs>
          <w:tab w:val="left" w:pos="142" w:leader="none"/>
          <w:tab w:val="left" w:pos="1560" w:leader="none"/>
        </w:tabs>
        <w:rPr>
          <w:rFonts w:eastAsia="Calibri"/>
          <w:bCs/>
          <w:sz w:val="20"/>
          <w:szCs w:val="20"/>
          <w:lang w:eastAsia="en-US"/>
        </w:rPr>
      </w:pPr>
      <w:r>
        <w:rPr>
          <w:rFonts w:eastAsia="Calibri"/>
          <w:bCs/>
          <w:sz w:val="20"/>
          <w:szCs w:val="20"/>
          <w:lang w:eastAsia="en-US"/>
        </w:rPr>
        <w:t xml:space="preserve">R</w:t>
      </w:r>
      <w:r>
        <w:rPr>
          <w:rFonts w:eastAsia="Calibri"/>
          <w:bCs/>
          <w:sz w:val="20"/>
          <w:szCs w:val="20"/>
          <w:lang w:val="en-US" w:eastAsia="en-US"/>
        </w:rPr>
        <w:t xml:space="preserve">s</w:t>
      </w:r>
      <w:r>
        <w:rPr>
          <w:rFonts w:eastAsia="Calibri"/>
          <w:bCs/>
          <w:sz w:val="20"/>
          <w:szCs w:val="20"/>
          <w:vertAlign w:val="subscript"/>
          <w:lang w:val="en-US" w:eastAsia="en-US"/>
        </w:rPr>
        <w:t xml:space="preserve">i</w:t>
      </w:r>
      <w:r>
        <w:rPr>
          <w:rFonts w:eastAsia="Calibri"/>
          <w:bCs/>
          <w:sz w:val="20"/>
          <w:szCs w:val="20"/>
          <w:lang w:eastAsia="en-US"/>
        </w:rPr>
        <w:t xml:space="preserve"> - рейтинг i-й заявки по критерию стоимости;</w:t>
      </w:r>
      <w:r>
        <w:rPr>
          <w:rFonts w:eastAsia="Calibri"/>
          <w:bCs/>
          <w:sz w:val="20"/>
          <w:szCs w:val="20"/>
          <w:lang w:eastAsia="en-US"/>
        </w:rPr>
      </w:r>
    </w:p>
    <w:p>
      <w:pPr>
        <w:ind w:left="1418"/>
        <w:spacing w:after="0"/>
        <w:tabs>
          <w:tab w:val="left" w:pos="142" w:leader="none"/>
          <w:tab w:val="left" w:pos="1560" w:leader="none"/>
        </w:tabs>
        <w:rPr>
          <w:rFonts w:eastAsia="Calibri"/>
          <w:bCs/>
          <w:sz w:val="20"/>
          <w:szCs w:val="20"/>
          <w:lang w:eastAsia="en-US"/>
        </w:rPr>
      </w:pPr>
      <w:r>
        <w:rPr>
          <w:rFonts w:eastAsia="Calibri"/>
          <w:bCs/>
          <w:sz w:val="20"/>
          <w:szCs w:val="20"/>
          <w:lang w:val="en-US" w:eastAsia="en-US"/>
        </w:rPr>
        <w:t xml:space="preserve">S</w:t>
      </w:r>
      <w:r>
        <w:rPr>
          <w:rFonts w:eastAsia="Calibri"/>
          <w:bCs/>
          <w:sz w:val="20"/>
          <w:szCs w:val="20"/>
          <w:vertAlign w:val="subscript"/>
          <w:lang w:val="en-US" w:eastAsia="en-US"/>
        </w:rPr>
        <w:t xml:space="preserve">max</w:t>
      </w:r>
      <w:r>
        <w:rPr>
          <w:rFonts w:eastAsia="Calibri"/>
          <w:bCs/>
          <w:sz w:val="20"/>
          <w:szCs w:val="20"/>
          <w:lang w:eastAsia="en-US"/>
        </w:rPr>
        <w:t xml:space="preserve"> – объявленная начальная (максимальная) цена договора;</w:t>
      </w:r>
      <w:r>
        <w:rPr>
          <w:rFonts w:eastAsia="Calibri"/>
          <w:bCs/>
          <w:sz w:val="20"/>
          <w:szCs w:val="20"/>
          <w:lang w:eastAsia="en-US"/>
        </w:rPr>
      </w:r>
    </w:p>
    <w:p>
      <w:pPr>
        <w:ind w:left="1418"/>
        <w:spacing w:after="0"/>
        <w:tabs>
          <w:tab w:val="left" w:pos="142" w:leader="none"/>
          <w:tab w:val="left" w:pos="1560" w:leader="none"/>
        </w:tabs>
        <w:rPr>
          <w:rFonts w:eastAsia="Calibri"/>
          <w:bCs/>
          <w:sz w:val="20"/>
          <w:szCs w:val="20"/>
          <w:lang w:eastAsia="en-US"/>
        </w:rPr>
      </w:pPr>
      <w:r>
        <w:rPr>
          <w:rFonts w:eastAsia="Calibri"/>
          <w:bCs/>
          <w:sz w:val="20"/>
          <w:szCs w:val="20"/>
          <w:lang w:val="en-US" w:eastAsia="en-US"/>
        </w:rPr>
        <w:t xml:space="preserve">S</w:t>
      </w:r>
      <w:r>
        <w:rPr>
          <w:rFonts w:eastAsia="Calibri"/>
          <w:bCs/>
          <w:sz w:val="20"/>
          <w:szCs w:val="20"/>
          <w:vertAlign w:val="subscript"/>
          <w:lang w:val="en-US" w:eastAsia="en-US"/>
        </w:rPr>
        <w:t xml:space="preserve">i</w:t>
      </w:r>
      <w:r>
        <w:rPr>
          <w:rFonts w:eastAsia="Calibri"/>
          <w:bCs/>
          <w:sz w:val="20"/>
          <w:szCs w:val="20"/>
          <w:lang w:eastAsia="en-US"/>
        </w:rPr>
        <w:t xml:space="preserve"> - стоимость заявки i-</w:t>
      </w:r>
      <w:r>
        <w:rPr>
          <w:rFonts w:eastAsia="Calibri"/>
          <w:bCs/>
          <w:sz w:val="20"/>
          <w:szCs w:val="20"/>
          <w:lang w:eastAsia="en-US"/>
        </w:rPr>
        <w:t xml:space="preserve">го</w:t>
      </w:r>
      <w:r>
        <w:rPr>
          <w:rFonts w:eastAsia="Calibri"/>
          <w:bCs/>
          <w:sz w:val="20"/>
          <w:szCs w:val="20"/>
          <w:lang w:eastAsia="en-US"/>
        </w:rPr>
        <w:t xml:space="preserve"> участника.</w:t>
      </w:r>
      <w:r>
        <w:rPr>
          <w:rFonts w:eastAsia="Calibri"/>
          <w:bCs/>
          <w:sz w:val="20"/>
          <w:szCs w:val="20"/>
          <w:lang w:eastAsia="en-US"/>
        </w:rPr>
      </w:r>
    </w:p>
    <w:p>
      <w:pPr>
        <w:ind w:firstLine="709"/>
        <w:tabs>
          <w:tab w:val="left" w:pos="142" w:leader="none"/>
          <w:tab w:val="left" w:pos="1701" w:leader="none"/>
        </w:tabs>
        <w:rPr>
          <w:rFonts w:eastAsia="Calibri"/>
        </w:rPr>
      </w:pPr>
      <w:r>
        <w:rPr>
          <w:rFonts w:eastAsia="Calibri"/>
        </w:rPr>
        <w:t xml:space="preserve">Полученное значение ценового рейтинга заявки является балльной оценкой по данному критерию и учитывается в итоговом рейтинге с учетом весового коэффициента. </w:t>
      </w:r>
      <w:r>
        <w:rPr>
          <w:rFonts w:eastAsia="Calibri"/>
        </w:rPr>
      </w:r>
    </w:p>
    <w:p>
      <w:pPr>
        <w:pStyle w:val="1352"/>
        <w:numPr>
          <w:ilvl w:val="0"/>
          <w:numId w:val="11"/>
        </w:numPr>
        <w:ind w:left="0" w:firstLine="567"/>
        <w:jc w:val="both"/>
        <w:rPr>
          <w:rFonts w:eastAsia="Tahoma" w:cs="Noto Sans"/>
          <w:color w:val="000000"/>
        </w:rPr>
      </w:pPr>
      <w:r>
        <w:rPr>
          <w:rFonts w:eastAsia="Tahoma" w:cs="Noto Sans"/>
          <w:color w:val="000000"/>
        </w:rPr>
        <w:t xml:space="preserve">По критерию «</w:t>
      </w:r>
      <w:r>
        <w:rPr>
          <w:rFonts w:eastAsia="Tahoma" w:cs="Noto Sans"/>
          <w:b/>
          <w:bCs/>
          <w:color w:val="000000"/>
        </w:rPr>
        <w:t xml:space="preserve">Опыт оказания аналогичных услуг» (</w:t>
      </w:r>
      <w:r>
        <w:rPr>
          <w:rFonts w:eastAsia="Tahoma" w:cs="Noto Sans"/>
          <w:b/>
          <w:bCs/>
          <w:color w:val="000000"/>
        </w:rPr>
        <w:t xml:space="preserve">R</w:t>
      </w:r>
      <w:r>
        <w:rPr>
          <w:rFonts w:eastAsia="Tahoma" w:cs="Noto Sans"/>
          <w:b/>
          <w:bCs/>
          <w:color w:val="000000"/>
          <w:vertAlign w:val="subscript"/>
        </w:rPr>
        <w:t xml:space="preserve">oi</w:t>
      </w:r>
      <w:r>
        <w:rPr>
          <w:rFonts w:eastAsia="Tahoma" w:cs="Noto Sans"/>
          <w:b/>
          <w:bCs/>
          <w:color w:val="000000"/>
        </w:rPr>
        <w:t xml:space="preserve">)</w:t>
      </w:r>
      <w:r>
        <w:rPr>
          <w:rFonts w:eastAsia="Tahoma" w:cs="Noto Sans"/>
          <w:color w:val="000000"/>
        </w:rPr>
        <w:t xml:space="preserve"> оценивается наличие у участника за последние 3 (три) года до даты публикации извещения</w:t>
      </w:r>
      <w:r>
        <w:rPr>
          <w:rFonts w:eastAsia="Tahoma" w:cs="Noto Sans"/>
          <w:color w:val="000000"/>
        </w:rPr>
        <w:t xml:space="preserve"> о проведении настоящей закупки исполненных и/или действующих договоров на выполнение работ/оказание услуг по сопровождению и/или поддержке и/или созданию и/или  проектированию и/или внедрению и/или разработке и/или изменению и/или доработке и/или развитию</w:t>
      </w:r>
      <w:r>
        <w:rPr>
          <w:rFonts w:eastAsia="Tahoma" w:cs="Noto Sans"/>
          <w:color w:val="000000"/>
        </w:rPr>
        <w:t xml:space="preserve"> и/или модернизации автоматизированной/информационной системы на базе программного обеспечения </w:t>
      </w:r>
      <w:r>
        <w:rPr>
          <w:rFonts w:eastAsia="Tahoma" w:cs="Noto Sans"/>
          <w:color w:val="000000"/>
          <w:lang w:val="en-US"/>
        </w:rPr>
        <w:t xml:space="preserve">BPMSoft</w:t>
      </w:r>
      <w:r>
        <w:rPr>
          <w:rFonts w:eastAsia="Tahoma" w:cs="Noto Sans"/>
          <w:color w:val="000000"/>
        </w:rPr>
        <w:t xml:space="preserve"> с суммой исполненных обязательств по каждому такому договору не менее 30% от начальн</w:t>
      </w:r>
      <w:r>
        <w:rPr>
          <w:rFonts w:eastAsia="Tahoma" w:cs="Noto Sans"/>
          <w:color w:val="000000"/>
        </w:rPr>
        <w:t xml:space="preserve">ой (максимальной) цены договора, указанной в п. 5 Части </w:t>
      </w:r>
      <w:r>
        <w:rPr>
          <w:rFonts w:eastAsia="Tahoma" w:cs="Noto Sans"/>
          <w:color w:val="000000"/>
          <w:lang w:val="en-US"/>
        </w:rPr>
        <w:t xml:space="preserve">II</w:t>
      </w:r>
      <w:r>
        <w:rPr>
          <w:rFonts w:eastAsia="Tahoma" w:cs="Noto Sans"/>
          <w:color w:val="000000"/>
        </w:rPr>
        <w:t xml:space="preserve"> «Информационная карта закупки» Документации о закупке».</w:t>
      </w:r>
      <w:r>
        <w:rPr>
          <w:rFonts w:eastAsia="Tahoma" w:cs="Noto Sans"/>
          <w:color w:val="000000"/>
        </w:rPr>
      </w:r>
    </w:p>
    <w:p>
      <w:pPr>
        <w:ind w:firstLine="567"/>
        <w:rPr>
          <w:rFonts w:eastAsia="Tahoma" w:cs="Noto Sans"/>
          <w:color w:val="000000"/>
        </w:rPr>
      </w:pPr>
      <w:r>
        <w:rPr>
          <w:rFonts w:eastAsia="Tahoma" w:cs="Noto Sans"/>
          <w:color w:val="000000"/>
        </w:rPr>
        <w:t xml:space="preserve">Оценка по критерию производится </w:t>
      </w:r>
      <w:r>
        <w:rPr>
          <w:rFonts w:eastAsia="Tahoma" w:cs="Noto Sans"/>
          <w:bCs/>
          <w:color w:val="000000"/>
        </w:rPr>
        <w:t xml:space="preserve">членами Закупочной комиссии (при необходимости – с привлечением экспертов) </w:t>
      </w:r>
      <w:r>
        <w:rPr>
          <w:rFonts w:eastAsia="Tahoma" w:cs="Noto Sans"/>
          <w:bCs/>
          <w:color w:val="000000"/>
          <w:lang w:bidi="ru-RU"/>
        </w:rPr>
        <w:t xml:space="preserve">на основании справки для оценки опыта оказани</w:t>
      </w:r>
      <w:r>
        <w:rPr>
          <w:rFonts w:eastAsia="Tahoma" w:cs="Noto Sans"/>
          <w:bCs/>
          <w:color w:val="000000"/>
          <w:lang w:bidi="ru-RU"/>
        </w:rPr>
        <w:t xml:space="preserve">я аналогичных</w:t>
      </w:r>
      <w:r>
        <w:rPr>
          <w:rFonts w:eastAsia="Tahoma" w:cs="Noto Sans"/>
          <w:bCs/>
          <w:color w:val="000000"/>
          <w:lang w:bidi="ru-RU"/>
        </w:rPr>
        <w:t xml:space="preserve"> услуг </w:t>
      </w:r>
      <w:r>
        <w:rPr>
          <w:rFonts w:eastAsia="Tahoma" w:cs="Noto Sans"/>
          <w:color w:val="000000"/>
        </w:rPr>
        <w:t xml:space="preserve">за последние три года </w:t>
      </w:r>
      <w:r>
        <w:rPr>
          <w:rFonts w:eastAsia="Tahoma" w:cs="Noto Sans"/>
          <w:bCs/>
          <w:color w:val="000000"/>
        </w:rPr>
        <w:t xml:space="preserve">по форме, </w:t>
      </w:r>
      <w:r>
        <w:rPr>
          <w:rFonts w:eastAsia="Tahoma" w:cs="Noto Sans"/>
          <w:iCs/>
          <w:color w:val="000000"/>
        </w:rPr>
        <w:t xml:space="preserve">установленной настоящей документацией</w:t>
      </w:r>
      <w:r>
        <w:rPr>
          <w:rFonts w:eastAsia="Tahoma" w:cs="Noto Sans"/>
          <w:iCs/>
          <w:color w:val="000000"/>
        </w:rPr>
        <w:t xml:space="preserve"> (форма 5)</w:t>
      </w:r>
      <w:r>
        <w:rPr>
          <w:rFonts w:eastAsia="Tahoma" w:cs="Noto Sans"/>
          <w:color w:val="000000"/>
        </w:rPr>
        <w:t xml:space="preserve">, с приложением копий указанных в справке договоров (включая приложения) и копий документов по указанным договорам (актов выполненных работ/оказанных услуг).</w:t>
      </w:r>
      <w:r>
        <w:rPr>
          <w:rFonts w:eastAsia="Tahoma" w:cs="Noto Sans"/>
          <w:color w:val="000000"/>
        </w:rPr>
        <w:t xml:space="preserve"> При этом дата </w:t>
      </w:r>
      <w:r>
        <w:rPr>
          <w:rFonts w:eastAsia="Tahoma" w:cs="Noto Sans"/>
          <w:color w:val="000000"/>
        </w:rPr>
        <w:t xml:space="preserve">подписания последнего акта приёмки выполненных работ/оказанных услуг</w:t>
      </w:r>
      <w:r>
        <w:rPr>
          <w:rFonts w:eastAsia="Tahoma" w:cs="Noto Sans"/>
          <w:color w:val="000000"/>
        </w:rPr>
        <w:t xml:space="preserve"> не должна быть ранее трех лет до даты публикации извещения о закупке.</w:t>
      </w:r>
      <w:r>
        <w:rPr>
          <w:rFonts w:eastAsia="Tahoma" w:cs="Noto Sans"/>
          <w:color w:val="000000"/>
        </w:rPr>
      </w:r>
    </w:p>
    <w:p>
      <w:pPr>
        <w:ind w:firstLine="567"/>
        <w:rPr>
          <w:rFonts w:eastAsia="Tahoma" w:cs="Noto Sans"/>
          <w:color w:val="000000"/>
        </w:rPr>
      </w:pPr>
      <w:r>
        <w:rPr>
          <w:rFonts w:eastAsia="Tahoma" w:cs="Noto Sans"/>
          <w:color w:val="000000"/>
        </w:rPr>
        <w:t xml:space="preserve">За каждый исполненный и/или действующий договор, соответствующий критерию </w:t>
      </w:r>
      <w:r>
        <w:rPr>
          <w:rFonts w:eastAsia="Tahoma" w:cs="Noto Sans"/>
          <w:b/>
          <w:color w:val="000000"/>
          <w:lang w:val="en-US"/>
        </w:rPr>
        <w:t xml:space="preserve">R</w:t>
      </w:r>
      <w:r>
        <w:rPr>
          <w:rFonts w:eastAsia="Tahoma" w:cs="Noto Sans"/>
          <w:b/>
          <w:color w:val="000000"/>
          <w:vertAlign w:val="subscript"/>
        </w:rPr>
        <w:t xml:space="preserve">о</w:t>
      </w:r>
      <w:r>
        <w:rPr>
          <w:rFonts w:eastAsia="Tahoma" w:cs="Noto Sans"/>
          <w:b/>
          <w:color w:val="000000"/>
          <w:vertAlign w:val="subscript"/>
          <w:lang w:val="en-US"/>
        </w:rPr>
        <w:t xml:space="preserve">i</w:t>
      </w:r>
      <w:r>
        <w:rPr>
          <w:rFonts w:eastAsia="Tahoma" w:cs="Noto Sans"/>
          <w:color w:val="000000"/>
        </w:rPr>
        <w:t xml:space="preserve">, участнику присваивается 10 (десять) баллов. </w:t>
      </w:r>
      <w:r>
        <w:rPr>
          <w:rFonts w:eastAsia="Tahoma" w:cs="Noto Sans"/>
          <w:color w:val="000000"/>
        </w:rPr>
      </w:r>
    </w:p>
    <w:p>
      <w:pPr>
        <w:ind w:firstLine="567"/>
        <w:rPr>
          <w:rFonts w:eastAsia="Tahoma" w:cs="Noto Sans"/>
          <w:color w:val="000000"/>
        </w:rPr>
      </w:pPr>
      <w:r>
        <w:rPr>
          <w:rFonts w:eastAsia="Tahoma" w:cs="Noto Sans"/>
          <w:color w:val="000000"/>
        </w:rPr>
        <w:t xml:space="preserve">Максимальное количество баллов по критерию «Опыт оказания аналогичных услуг» (</w:t>
      </w:r>
      <w:r>
        <w:rPr>
          <w:rFonts w:eastAsia="Tahoma" w:cs="Noto Sans"/>
          <w:color w:val="000000"/>
        </w:rPr>
        <w:t xml:space="preserve">R</w:t>
      </w:r>
      <w:r>
        <w:rPr>
          <w:rFonts w:eastAsia="Tahoma" w:cs="Noto Sans"/>
          <w:color w:val="000000"/>
          <w:vertAlign w:val="subscript"/>
        </w:rPr>
        <w:t xml:space="preserve">oi</w:t>
      </w:r>
      <w:r>
        <w:rPr>
          <w:rFonts w:eastAsia="Tahoma" w:cs="Noto Sans"/>
          <w:color w:val="000000"/>
        </w:rPr>
        <w:t xml:space="preserve">) равно 100.</w:t>
      </w:r>
      <w:r>
        <w:rPr>
          <w:rFonts w:eastAsia="Tahoma" w:cs="Noto Sans"/>
          <w:color w:val="000000"/>
        </w:rPr>
      </w:r>
    </w:p>
    <w:p>
      <w:pPr>
        <w:ind w:firstLine="567"/>
        <w:rPr>
          <w:rFonts w:eastAsia="Tahoma" w:cs="Noto Sans"/>
          <w:color w:val="000000"/>
        </w:rPr>
      </w:pPr>
      <w:r>
        <w:t xml:space="preserve">В случае отсутствия справки </w:t>
      </w:r>
      <w:r>
        <w:rPr>
          <w:bCs/>
          <w:lang w:bidi="ru-RU"/>
        </w:rPr>
        <w:t xml:space="preserve">для оценки опыта</w:t>
      </w:r>
      <w:r>
        <w:rPr>
          <w:bCs/>
        </w:rPr>
        <w:t xml:space="preserve"> оказания аналогичных услуг за последние три года</w:t>
      </w:r>
      <w:r>
        <w:t xml:space="preserve"> (часть III «ОБРАЗЦЫ ФОРМ ДЛЯ ЗАПОЛНЕНИЯ УЧАСТНИКАМИ ЗАКУПКИ», форма 5) и/или подтверждающих документов </w:t>
      </w:r>
      <w:r>
        <w:rPr>
          <w:bCs/>
        </w:rPr>
        <w:t xml:space="preserve">(актов выполненных работ / оказанных услуг и/или договоров)</w:t>
      </w:r>
      <w:r>
        <w:t xml:space="preserve">, а также, если в справке указаны договоры, несоответствующие установленным в документации о закупке параметрам, заявке данного участника по оцениваемому критерию присваивается значение 0 баллов</w:t>
      </w:r>
      <w:r>
        <w:t xml:space="preserve">. Отсутствие указанных документов не является основанием для отклонения Заявки участника.</w:t>
      </w:r>
      <w:r>
        <w:rPr>
          <w:rFonts w:eastAsia="Tahoma" w:cs="Noto Sans"/>
          <w:color w:val="000000"/>
        </w:rPr>
      </w:r>
    </w:p>
    <w:p>
      <w:pPr>
        <w:pStyle w:val="1352"/>
        <w:numPr>
          <w:ilvl w:val="0"/>
          <w:numId w:val="11"/>
        </w:numPr>
        <w:ind w:left="0" w:right="-6" w:firstLine="567"/>
        <w:jc w:val="both"/>
        <w:spacing w:after="120"/>
        <w:rPr>
          <w:color w:val="000000"/>
        </w:rPr>
      </w:pPr>
      <w:r>
        <w:rPr>
          <w:bCs/>
          <w:color w:val="000000"/>
        </w:rPr>
        <w:t xml:space="preserve">По критерию «</w:t>
      </w:r>
      <w:r>
        <w:rPr>
          <w:b/>
          <w:bCs/>
          <w:color w:val="000000"/>
        </w:rPr>
        <w:t xml:space="preserve">Наличие квалифицированных кадровых ресурсов</w:t>
      </w:r>
      <w:r>
        <w:rPr>
          <w:bCs/>
          <w:color w:val="000000"/>
        </w:rPr>
        <w:t xml:space="preserve">» (коэффициент </w:t>
      </w:r>
      <w:r>
        <w:rPr>
          <w:bCs/>
          <w:color w:val="000000"/>
        </w:rPr>
        <w:t xml:space="preserve">Rki</w:t>
      </w:r>
      <w:r>
        <w:rPr>
          <w:bCs/>
          <w:color w:val="000000"/>
        </w:rPr>
        <w:t xml:space="preserve"> i-й заявки) </w:t>
      </w:r>
      <w:r>
        <w:rPr>
          <w:bCs/>
          <w:color w:val="000000"/>
        </w:rPr>
        <w:t xml:space="preserve">оценка производится на основании справки о привлекаемых кадровых ресурсах (часть III «ОБРАЗЦЫ ФОРМ ДЛЯ ЗАПОЛНЕНИЯ УЧАС</w:t>
      </w:r>
      <w:r>
        <w:rPr>
          <w:bCs/>
          <w:color w:val="000000"/>
        </w:rPr>
        <w:t xml:space="preserve">ТНИКАМИ ЗАКУПКИ», форма 6) и обязательно прилагаемых к ней подтверждающих материалов в виде копий страниц трудовых книжек и/или копий трудовых договоров и/или иных документов в соответствии с законодательством РФ, подтверждающих трудовые взаимоотношения, а</w:t>
      </w:r>
      <w:r>
        <w:rPr>
          <w:bCs/>
          <w:color w:val="000000"/>
        </w:rPr>
        <w:t xml:space="preserve"> также резюме </w:t>
      </w:r>
      <w:r>
        <w:rPr>
          <w:bCs/>
          <w:color w:val="000000"/>
        </w:rPr>
        <w:t xml:space="preserve">работников по форме 6.1., копий</w:t>
      </w:r>
      <w:r>
        <w:rPr>
          <w:bCs/>
          <w:color w:val="000000"/>
        </w:rPr>
        <w:t xml:space="preserve"> сертификатов/удостоверений в соответствии с таблицей 1.  Резюме должно содержать, в том числе информацию о наличии у работника требуемого опыта и квалификации. Оценивается заявленное количество следующих специалистов</w:t>
      </w:r>
      <w:r>
        <w:rPr>
          <w:bCs/>
          <w:color w:val="000000"/>
        </w:rPr>
        <w:t xml:space="preserve">:</w:t>
      </w:r>
      <w:r>
        <w:rPr>
          <w:color w:val="000000"/>
        </w:rPr>
      </w:r>
    </w:p>
    <w:p>
      <w:pPr>
        <w:ind w:right="-6"/>
        <w:jc w:val="right"/>
        <w:spacing w:after="120"/>
        <w:rPr>
          <w:color w:val="000000"/>
        </w:rPr>
      </w:pPr>
      <w:r>
        <w:rPr>
          <w:color w:val="000000"/>
        </w:rPr>
        <w:t xml:space="preserve">Таблица 1</w:t>
      </w:r>
      <w:r>
        <w:rPr>
          <w:color w:val="000000"/>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425"/>
        <w:gridCol w:w="2430"/>
        <w:gridCol w:w="1716"/>
      </w:tblGrid>
      <w:tr>
        <w:tblPrEx/>
        <w:trPr/>
        <w:tc>
          <w:tcPr>
            <w:shd w:val="clear" w:color="auto" w:fill="ffffff"/>
            <w:tcBorders>
              <w:top w:val="single" w:color="000000" w:sz="4" w:space="0"/>
              <w:left w:val="single" w:color="000000" w:sz="4" w:space="0"/>
              <w:bottom w:val="single" w:color="000000" w:sz="4" w:space="0"/>
              <w:right w:val="single" w:color="000000" w:sz="4" w:space="0"/>
            </w:tcBorders>
            <w:tcW w:w="5425" w:type="dxa"/>
            <w:vAlign w:val="center"/>
            <w:textDirection w:val="lrTb"/>
            <w:noWrap w:val="false"/>
          </w:tcPr>
          <w:p>
            <w:pPr>
              <w:jc w:val="center"/>
              <w:spacing w:after="120"/>
              <w:rPr>
                <w:rFonts w:eastAsia="Calibri"/>
                <w:b/>
                <w:bCs/>
                <w:sz w:val="20"/>
              </w:rPr>
            </w:pPr>
            <w:r>
              <w:rPr>
                <w:rFonts w:eastAsia="Calibri"/>
                <w:b/>
                <w:bCs/>
                <w:sz w:val="20"/>
              </w:rPr>
              <w:t xml:space="preserve">Персонал</w:t>
            </w:r>
            <w:r>
              <w:rPr>
                <w:rFonts w:eastAsia="Calibri"/>
                <w:b/>
                <w:bCs/>
                <w:sz w:val="20"/>
              </w:rPr>
            </w:r>
          </w:p>
        </w:tc>
        <w:tc>
          <w:tcPr>
            <w:shd w:val="clear" w:color="auto" w:fill="ffffff"/>
            <w:tcBorders>
              <w:top w:val="single" w:color="000000" w:sz="4" w:space="0"/>
              <w:left w:val="single" w:color="000000" w:sz="4" w:space="0"/>
              <w:bottom w:val="single" w:color="000000" w:sz="4" w:space="0"/>
              <w:right w:val="single" w:color="000000" w:sz="4" w:space="0"/>
            </w:tcBorders>
            <w:tcW w:w="2430" w:type="dxa"/>
            <w:vAlign w:val="center"/>
            <w:textDirection w:val="lrTb"/>
            <w:noWrap w:val="false"/>
          </w:tcPr>
          <w:p>
            <w:pPr>
              <w:jc w:val="center"/>
              <w:spacing w:after="120"/>
              <w:rPr>
                <w:rFonts w:eastAsia="Calibri"/>
                <w:b/>
                <w:bCs/>
                <w:sz w:val="20"/>
                <w:lang w:eastAsia="en-US"/>
              </w:rPr>
            </w:pPr>
            <w:r>
              <w:rPr>
                <w:rFonts w:eastAsia="Calibri"/>
                <w:b/>
                <w:bCs/>
                <w:sz w:val="20"/>
              </w:rPr>
              <w:t xml:space="preserve">Подтверждающие документы</w:t>
            </w:r>
            <w:r>
              <w:rPr>
                <w:rFonts w:eastAsia="Calibri"/>
                <w:b/>
                <w:bCs/>
                <w:sz w:val="20"/>
                <w:lang w:eastAsia="en-US"/>
              </w:rPr>
            </w:r>
          </w:p>
        </w:tc>
        <w:tc>
          <w:tcPr>
            <w:shd w:val="clear" w:color="auto" w:fill="ffffff"/>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jc w:val="center"/>
              <w:spacing w:after="120"/>
              <w:rPr>
                <w:rFonts w:eastAsia="Calibri"/>
                <w:b/>
                <w:bCs/>
                <w:sz w:val="20"/>
                <w:lang w:eastAsia="en-US"/>
              </w:rPr>
            </w:pPr>
            <w:r>
              <w:rPr>
                <w:rFonts w:eastAsia="Calibri"/>
                <w:b/>
                <w:bCs/>
                <w:sz w:val="20"/>
              </w:rPr>
              <w:t xml:space="preserve">Базовое расчетное количество персонала, человек</w:t>
            </w:r>
            <w:r>
              <w:rPr>
                <w:rFonts w:eastAsia="Calibri"/>
                <w:b/>
                <w:bCs/>
                <w:sz w:val="20"/>
                <w:lang w:eastAsia="en-US"/>
              </w:rPr>
            </w:r>
          </w:p>
        </w:tc>
      </w:tr>
      <w:tr>
        <w:tblPrEx/>
        <w:trPr>
          <w:trHeight w:val="2502"/>
        </w:trPr>
        <w:tc>
          <w:tcPr>
            <w:shd w:val="clear" w:color="auto" w:fill="ffffff"/>
            <w:tcBorders>
              <w:top w:val="single" w:color="000000" w:sz="4" w:space="0"/>
              <w:left w:val="single" w:color="000000" w:sz="4" w:space="0"/>
              <w:bottom w:val="single" w:color="000000" w:sz="4" w:space="0"/>
              <w:right w:val="single" w:color="000000" w:sz="4" w:space="0"/>
            </w:tcBorders>
            <w:tcW w:w="5425" w:type="dxa"/>
            <w:vAlign w:val="center"/>
            <w:textDirection w:val="lrTb"/>
            <w:noWrap w:val="false"/>
          </w:tcPr>
          <w:p>
            <w:pPr>
              <w:spacing w:after="120"/>
              <w:rPr>
                <w:rFonts w:eastAsia="Calibri"/>
                <w:bCs/>
                <w:sz w:val="20"/>
                <w:lang w:eastAsia="en-US"/>
              </w:rPr>
            </w:pPr>
            <w:r>
              <w:rPr>
                <w:rFonts w:eastAsia="Calibri"/>
                <w:bCs/>
                <w:sz w:val="20"/>
              </w:rPr>
              <w:t xml:space="preserve">Руководитель проекта </w:t>
            </w:r>
            <w:r>
              <w:rPr>
                <w:rFonts w:eastAsia="Calibri"/>
                <w:sz w:val="20"/>
              </w:rPr>
              <w:t xml:space="preserve">с опытом реализации не менее 3х</w:t>
            </w:r>
            <w:r>
              <w:rPr>
                <w:rFonts w:eastAsia="Calibri"/>
                <w:sz w:val="20"/>
              </w:rPr>
              <w:t xml:space="preserve"> проектов по сопровождению и/или поддержке и/или созданию и/или проектированию и/или внедрению и/или разработке и/или изменению и/или доработке и/или развитию и/или модернизации информационных или автоматизированных систем на базе программного обеспечения </w:t>
            </w:r>
            <w:r>
              <w:rPr>
                <w:rFonts w:eastAsia="Calibri"/>
                <w:sz w:val="20"/>
              </w:rPr>
              <w:t xml:space="preserve">BPMSoft</w:t>
            </w:r>
            <w:r>
              <w:rPr>
                <w:rFonts w:eastAsia="Calibri"/>
                <w:sz w:val="20"/>
              </w:rPr>
              <w:t xml:space="preserve"> за последние </w:t>
            </w:r>
            <w:r>
              <w:rPr>
                <w:color w:val="000000"/>
                <w:sz w:val="20"/>
              </w:rPr>
              <w:t xml:space="preserve">3 (три) </w:t>
            </w:r>
            <w:r>
              <w:rPr>
                <w:rFonts w:eastAsia="Calibri"/>
                <w:sz w:val="20"/>
              </w:rPr>
              <w:t xml:space="preserve">года </w:t>
            </w:r>
            <w:r>
              <w:rPr>
                <w:color w:val="000000"/>
                <w:sz w:val="20"/>
              </w:rPr>
              <w:t xml:space="preserve">до даты публикации извещения о проведении настоящей закупки</w:t>
            </w:r>
            <w:r>
              <w:rPr>
                <w:rFonts w:eastAsia="Calibri"/>
                <w:bCs/>
                <w:sz w:val="20"/>
                <w:lang w:eastAsia="en-US"/>
              </w:rPr>
            </w:r>
          </w:p>
        </w:tc>
        <w:tc>
          <w:tcPr>
            <w:shd w:val="clear" w:color="auto" w:fill="ffffff"/>
            <w:tcBorders>
              <w:top w:val="single" w:color="000000" w:sz="4" w:space="0"/>
              <w:left w:val="single" w:color="000000" w:sz="4" w:space="0"/>
              <w:bottom w:val="single" w:color="000000" w:sz="4" w:space="0"/>
              <w:right w:val="single" w:color="000000" w:sz="4" w:space="0"/>
            </w:tcBorders>
            <w:tcW w:w="2430" w:type="dxa"/>
            <w:textDirection w:val="lrTb"/>
            <w:noWrap w:val="false"/>
          </w:tcPr>
          <w:p>
            <w:pPr>
              <w:spacing w:after="120"/>
              <w:rPr>
                <w:rFonts w:eastAsia="Calibri"/>
                <w:sz w:val="20"/>
              </w:rPr>
            </w:pPr>
            <w:r>
              <w:rPr>
                <w:rFonts w:eastAsia="Calibri"/>
                <w:sz w:val="20"/>
              </w:rPr>
              <w:t xml:space="preserve">Сертификат </w:t>
            </w:r>
            <w:r>
              <w:rPr>
                <w:rFonts w:eastAsia="Calibri"/>
                <w:sz w:val="20"/>
              </w:rPr>
              <w:t xml:space="preserve">вендора</w:t>
            </w:r>
            <w:r>
              <w:rPr>
                <w:rFonts w:eastAsia="Calibri"/>
                <w:sz w:val="20"/>
              </w:rPr>
              <w:t xml:space="preserve"> </w:t>
            </w:r>
            <w:r>
              <w:rPr>
                <w:rFonts w:eastAsia="Calibri"/>
                <w:sz w:val="20"/>
              </w:rPr>
              <w:t xml:space="preserve">BPMSoft</w:t>
            </w:r>
            <w:r>
              <w:rPr>
                <w:rFonts w:eastAsia="Calibri"/>
                <w:sz w:val="20"/>
              </w:rPr>
              <w:t xml:space="preserve"> «Сертификат PRO. Аналитик. Продвинутый уровень», сертификат </w:t>
            </w:r>
            <w:r>
              <w:rPr>
                <w:rFonts w:eastAsia="Calibri"/>
                <w:sz w:val="20"/>
                <w:lang w:val="en-US"/>
              </w:rPr>
              <w:t xml:space="preserve">ITIL</w:t>
            </w:r>
            <w:r>
              <w:rPr>
                <w:rFonts w:eastAsia="Calibri"/>
                <w:sz w:val="20"/>
              </w:rPr>
              <w:t xml:space="preserve"> (или Удостоверение о повышении квалификации в направлении </w:t>
            </w:r>
            <w:r>
              <w:rPr>
                <w:rFonts w:eastAsia="Calibri"/>
                <w:sz w:val="20"/>
                <w:lang w:val="en-US"/>
              </w:rPr>
              <w:t xml:space="preserve">ITIL</w:t>
            </w:r>
            <w:r>
              <w:rPr>
                <w:rFonts w:eastAsia="Calibri"/>
                <w:sz w:val="20"/>
              </w:rPr>
              <w:t xml:space="preserve">), а также резюме работника</w:t>
            </w:r>
            <w:r>
              <w:rPr>
                <w:rFonts w:eastAsia="Calibri"/>
                <w:sz w:val="20"/>
              </w:rPr>
            </w:r>
          </w:p>
        </w:tc>
        <w:tc>
          <w:tcPr>
            <w:shd w:val="clear" w:color="auto" w:fill="ffffff"/>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jc w:val="center"/>
              <w:spacing w:after="120"/>
              <w:rPr>
                <w:rFonts w:eastAsia="Calibri"/>
                <w:b/>
                <w:bCs/>
                <w:sz w:val="20"/>
                <w:lang w:eastAsia="en-US"/>
              </w:rPr>
            </w:pPr>
            <w:r>
              <w:rPr>
                <w:rFonts w:eastAsia="Calibri"/>
                <w:bCs/>
                <w:sz w:val="20"/>
              </w:rPr>
              <w:t xml:space="preserve">не менее 1 </w:t>
            </w:r>
            <w:r>
              <w:rPr>
                <w:rFonts w:eastAsia="Calibri"/>
                <w:bCs/>
                <w:sz w:val="20"/>
                <w:lang w:val="en-US"/>
              </w:rPr>
              <w:t xml:space="preserve">(K</w:t>
            </w:r>
            <w:r>
              <w:rPr>
                <w:rFonts w:eastAsia="Calibri"/>
                <w:bCs/>
                <w:sz w:val="20"/>
                <w:vertAlign w:val="subscript"/>
              </w:rPr>
              <w:t xml:space="preserve">1</w:t>
            </w:r>
            <w:r>
              <w:rPr>
                <w:rFonts w:eastAsia="Calibri"/>
                <w:bCs/>
                <w:sz w:val="20"/>
                <w:vertAlign w:val="subscript"/>
                <w:lang w:val="en-US"/>
              </w:rPr>
              <w:t xml:space="preserve">min</w:t>
            </w:r>
            <w:r>
              <w:rPr>
                <w:rFonts w:eastAsia="Calibri"/>
                <w:bCs/>
                <w:sz w:val="20"/>
                <w:lang w:val="en-US"/>
              </w:rPr>
              <w:t xml:space="preserve">)</w:t>
            </w:r>
            <w:r>
              <w:rPr>
                <w:rFonts w:eastAsia="Calibri"/>
                <w:b/>
                <w:bCs/>
                <w:sz w:val="20"/>
                <w:lang w:eastAsia="en-US"/>
              </w:rPr>
            </w:r>
          </w:p>
        </w:tc>
      </w:tr>
      <w:tr>
        <w:tblPrEx/>
        <w:trPr>
          <w:trHeight w:val="2541"/>
        </w:trPr>
        <w:tc>
          <w:tcPr>
            <w:shd w:val="clear" w:color="auto" w:fill="ffffff"/>
            <w:tcBorders>
              <w:top w:val="single" w:color="000000" w:sz="4" w:space="0"/>
              <w:left w:val="single" w:color="000000" w:sz="4" w:space="0"/>
              <w:bottom w:val="single" w:color="000000" w:sz="4" w:space="0"/>
              <w:right w:val="single" w:color="000000" w:sz="4" w:space="0"/>
            </w:tcBorders>
            <w:tcW w:w="5425" w:type="dxa"/>
            <w:vAlign w:val="center"/>
            <w:textDirection w:val="lrTb"/>
            <w:noWrap w:val="false"/>
          </w:tcPr>
          <w:p>
            <w:pPr>
              <w:spacing w:after="120"/>
              <w:rPr>
                <w:rFonts w:eastAsia="Calibri"/>
                <w:color w:val="000000"/>
                <w:sz w:val="20"/>
              </w:rPr>
            </w:pPr>
            <w:r>
              <w:rPr>
                <w:rFonts w:eastAsia="Calibri"/>
                <w:color w:val="000000"/>
                <w:sz w:val="20"/>
              </w:rPr>
              <w:t xml:space="preserve">Аналитик и/или Консультант системы </w:t>
            </w:r>
            <w:r>
              <w:rPr>
                <w:rFonts w:eastAsia="Calibri"/>
                <w:color w:val="000000"/>
                <w:sz w:val="20"/>
                <w:lang w:val="en-US"/>
              </w:rPr>
              <w:t xml:space="preserve">BPMSoft</w:t>
            </w:r>
            <w:r>
              <w:rPr>
                <w:rFonts w:eastAsia="Calibri"/>
                <w:color w:val="000000"/>
                <w:sz w:val="20"/>
              </w:rPr>
              <w:t xml:space="preserve"> </w:t>
            </w:r>
            <w:r>
              <w:rPr>
                <w:rFonts w:eastAsia="Calibri"/>
                <w:sz w:val="20"/>
              </w:rPr>
              <w:t xml:space="preserve">с опытом реализации не менее 3х </w:t>
            </w:r>
            <w:r>
              <w:rPr>
                <w:rFonts w:eastAsia="Calibri"/>
                <w:sz w:val="20"/>
              </w:rPr>
              <w:t xml:space="preserve">проектов по сопровождению и/или поддержке и/или созданию и/или  проектированию и/или внедрению и/или разработке и/или изменению и/или доработке и/или развитию и/или модернизации информационных или автоматизированных систем на базе программного обеспечения </w:t>
            </w:r>
            <w:r>
              <w:rPr>
                <w:rFonts w:eastAsia="Calibri"/>
                <w:sz w:val="20"/>
              </w:rPr>
              <w:t xml:space="preserve">BPMSoft</w:t>
            </w:r>
            <w:r>
              <w:rPr>
                <w:rFonts w:eastAsia="Calibri"/>
                <w:sz w:val="20"/>
              </w:rPr>
              <w:t xml:space="preserve"> за последние </w:t>
            </w:r>
            <w:r>
              <w:rPr>
                <w:color w:val="000000"/>
                <w:sz w:val="20"/>
              </w:rPr>
              <w:t xml:space="preserve">3 (три) </w:t>
            </w:r>
            <w:r>
              <w:rPr>
                <w:rFonts w:eastAsia="Calibri"/>
                <w:sz w:val="20"/>
              </w:rPr>
              <w:t xml:space="preserve">года </w:t>
            </w:r>
            <w:r>
              <w:rPr>
                <w:color w:val="000000"/>
                <w:sz w:val="20"/>
              </w:rPr>
              <w:t xml:space="preserve">до даты публикации извещения</w:t>
            </w:r>
            <w:r>
              <w:rPr>
                <w:color w:val="000000"/>
                <w:sz w:val="20"/>
              </w:rPr>
              <w:t xml:space="preserve"> о проведении настоящей закупки</w:t>
            </w:r>
            <w:r>
              <w:rPr>
                <w:rFonts w:eastAsia="Calibri"/>
                <w:color w:val="000000"/>
                <w:sz w:val="20"/>
              </w:rPr>
            </w:r>
          </w:p>
        </w:tc>
        <w:tc>
          <w:tcPr>
            <w:shd w:val="clear" w:color="auto" w:fill="ffffff"/>
            <w:tcBorders>
              <w:top w:val="single" w:color="000000" w:sz="4" w:space="0"/>
              <w:left w:val="single" w:color="000000" w:sz="4" w:space="0"/>
              <w:bottom w:val="single" w:color="000000" w:sz="4" w:space="0"/>
              <w:right w:val="single" w:color="000000" w:sz="4" w:space="0"/>
            </w:tcBorders>
            <w:tcW w:w="2430" w:type="dxa"/>
            <w:textDirection w:val="lrTb"/>
            <w:noWrap w:val="false"/>
          </w:tcPr>
          <w:p>
            <w:pPr>
              <w:spacing w:after="120"/>
              <w:rPr>
                <w:rFonts w:eastAsia="Calibri"/>
                <w:sz w:val="20"/>
              </w:rPr>
            </w:pPr>
            <w:r>
              <w:rPr>
                <w:rFonts w:eastAsia="Calibri"/>
                <w:sz w:val="20"/>
              </w:rPr>
              <w:t xml:space="preserve">Сертификат </w:t>
            </w:r>
            <w:r>
              <w:rPr>
                <w:rFonts w:eastAsia="Calibri"/>
                <w:sz w:val="20"/>
              </w:rPr>
              <w:t xml:space="preserve">вендора</w:t>
            </w:r>
            <w:r>
              <w:rPr>
                <w:rFonts w:eastAsia="Calibri"/>
                <w:sz w:val="20"/>
              </w:rPr>
              <w:t xml:space="preserve"> </w:t>
            </w:r>
            <w:r>
              <w:rPr>
                <w:rFonts w:eastAsia="Calibri"/>
                <w:sz w:val="20"/>
              </w:rPr>
              <w:t xml:space="preserve">BPMSoft</w:t>
            </w:r>
            <w:r>
              <w:rPr>
                <w:rFonts w:eastAsia="Calibri"/>
                <w:sz w:val="20"/>
              </w:rPr>
              <w:t xml:space="preserve"> «Сертификат PRO. Аналитик. Продвинутый уровень», сертификат </w:t>
            </w:r>
            <w:r>
              <w:rPr>
                <w:rFonts w:eastAsia="Calibri"/>
                <w:sz w:val="20"/>
                <w:lang w:val="en-US"/>
              </w:rPr>
              <w:t xml:space="preserve">ITIL</w:t>
            </w:r>
            <w:r>
              <w:rPr>
                <w:rFonts w:eastAsia="Calibri"/>
                <w:sz w:val="20"/>
              </w:rPr>
              <w:t xml:space="preserve"> (или Удостоверение о повышении квалификации в направлении </w:t>
            </w:r>
            <w:r>
              <w:rPr>
                <w:rFonts w:eastAsia="Calibri"/>
                <w:sz w:val="20"/>
                <w:lang w:val="en-US"/>
              </w:rPr>
              <w:t xml:space="preserve">ITIL</w:t>
            </w:r>
            <w:r>
              <w:rPr>
                <w:rFonts w:eastAsia="Calibri"/>
                <w:sz w:val="20"/>
              </w:rPr>
              <w:t xml:space="preserve">), а также резюме работника</w:t>
            </w:r>
            <w:r>
              <w:rPr>
                <w:rFonts w:eastAsia="Calibri"/>
                <w:sz w:val="20"/>
              </w:rPr>
            </w:r>
          </w:p>
        </w:tc>
        <w:tc>
          <w:tcPr>
            <w:shd w:val="clear" w:color="auto" w:fill="ffffff"/>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jc w:val="center"/>
              <w:spacing w:after="120"/>
              <w:rPr>
                <w:rFonts w:eastAsia="Calibri"/>
                <w:bCs/>
                <w:sz w:val="20"/>
              </w:rPr>
            </w:pPr>
            <w:r>
              <w:rPr>
                <w:rFonts w:eastAsia="Calibri"/>
                <w:bCs/>
                <w:sz w:val="20"/>
              </w:rPr>
              <w:t xml:space="preserve">не менее 2 </w:t>
            </w:r>
            <w:r>
              <w:rPr>
                <w:rFonts w:eastAsia="Calibri"/>
                <w:bCs/>
                <w:sz w:val="20"/>
                <w:lang w:val="en-US"/>
              </w:rPr>
              <w:t xml:space="preserve">(K</w:t>
            </w:r>
            <w:r>
              <w:rPr>
                <w:rFonts w:eastAsia="Calibri"/>
                <w:bCs/>
                <w:sz w:val="20"/>
                <w:vertAlign w:val="subscript"/>
                <w:lang w:val="en-US"/>
              </w:rPr>
              <w:t xml:space="preserve">2min</w:t>
            </w:r>
            <w:r>
              <w:rPr>
                <w:rFonts w:eastAsia="Calibri"/>
                <w:bCs/>
                <w:sz w:val="20"/>
                <w:lang w:val="en-US"/>
              </w:rPr>
              <w:t xml:space="preserve">)</w:t>
            </w:r>
            <w:r>
              <w:rPr>
                <w:rFonts w:eastAsia="Calibri"/>
                <w:bCs/>
                <w:sz w:val="20"/>
              </w:rPr>
            </w:r>
          </w:p>
        </w:tc>
      </w:tr>
      <w:tr>
        <w:tblPrEx/>
        <w:trPr>
          <w:trHeight w:val="2541"/>
        </w:trPr>
        <w:tc>
          <w:tcPr>
            <w:shd w:val="clear" w:color="auto" w:fill="ffffff"/>
            <w:tcBorders>
              <w:top w:val="single" w:color="000000" w:sz="4" w:space="0"/>
              <w:left w:val="single" w:color="000000" w:sz="4" w:space="0"/>
              <w:bottom w:val="single" w:color="000000" w:sz="4" w:space="0"/>
              <w:right w:val="single" w:color="000000" w:sz="4" w:space="0"/>
            </w:tcBorders>
            <w:tcW w:w="5425" w:type="dxa"/>
            <w:textDirection w:val="lrTb"/>
            <w:noWrap w:val="false"/>
          </w:tcPr>
          <w:p>
            <w:pPr>
              <w:spacing w:after="120"/>
              <w:rPr>
                <w:rFonts w:eastAsia="Calibri"/>
                <w:color w:val="000000"/>
                <w:sz w:val="20"/>
                <w:lang w:eastAsia="en-US"/>
              </w:rPr>
            </w:pPr>
            <w:r>
              <w:rPr>
                <w:rFonts w:eastAsia="Calibri"/>
                <w:color w:val="000000"/>
                <w:sz w:val="20"/>
              </w:rPr>
              <w:t xml:space="preserve">Архитектор системы </w:t>
            </w:r>
            <w:r>
              <w:rPr>
                <w:rFonts w:eastAsia="Calibri"/>
                <w:color w:val="000000"/>
                <w:sz w:val="20"/>
                <w:lang w:val="en-US"/>
              </w:rPr>
              <w:t xml:space="preserve">BPMSoft</w:t>
            </w:r>
            <w:r>
              <w:rPr>
                <w:rFonts w:eastAsia="Calibri"/>
                <w:color w:val="000000"/>
                <w:sz w:val="20"/>
              </w:rPr>
              <w:t xml:space="preserve"> </w:t>
            </w:r>
            <w:r>
              <w:rPr>
                <w:rFonts w:eastAsia="Calibri"/>
                <w:sz w:val="20"/>
              </w:rPr>
              <w:t xml:space="preserve">с опытом реализации не менее 3х </w:t>
            </w:r>
            <w:r>
              <w:rPr>
                <w:rFonts w:eastAsia="Calibri"/>
                <w:sz w:val="20"/>
              </w:rPr>
              <w:t xml:space="preserve">проектов по сопровождению и/или поддержке и/или созданию и/или  проектированию и/или внедрению и/или разработке и/или изменению и/или доработке и/или развитию и/или модернизации информационных или автоматизированных систем на базе программного обеспечения </w:t>
            </w:r>
            <w:r>
              <w:rPr>
                <w:rFonts w:eastAsia="Calibri"/>
                <w:sz w:val="20"/>
              </w:rPr>
              <w:t xml:space="preserve">BPMSoft</w:t>
            </w:r>
            <w:r>
              <w:rPr>
                <w:rFonts w:eastAsia="Calibri"/>
                <w:sz w:val="20"/>
              </w:rPr>
              <w:t xml:space="preserve"> за последние </w:t>
            </w:r>
            <w:r>
              <w:rPr>
                <w:color w:val="000000"/>
                <w:sz w:val="20"/>
              </w:rPr>
              <w:t xml:space="preserve">3 (три) </w:t>
            </w:r>
            <w:r>
              <w:rPr>
                <w:rFonts w:eastAsia="Calibri"/>
                <w:sz w:val="20"/>
              </w:rPr>
              <w:t xml:space="preserve">года </w:t>
            </w:r>
            <w:r>
              <w:rPr>
                <w:color w:val="000000"/>
                <w:sz w:val="20"/>
              </w:rPr>
              <w:t xml:space="preserve">до даты публикации извещения о проведении настоящей</w:t>
            </w:r>
            <w:r>
              <w:rPr>
                <w:color w:val="000000"/>
                <w:sz w:val="20"/>
              </w:rPr>
              <w:t xml:space="preserve"> закупки</w:t>
            </w:r>
            <w:r>
              <w:rPr>
                <w:rFonts w:eastAsia="Calibri"/>
                <w:color w:val="000000"/>
                <w:sz w:val="20"/>
                <w:lang w:eastAsia="en-US"/>
              </w:rPr>
            </w:r>
          </w:p>
        </w:tc>
        <w:tc>
          <w:tcPr>
            <w:shd w:val="clear" w:color="auto" w:fill="ffffff"/>
            <w:tcBorders>
              <w:top w:val="single" w:color="000000" w:sz="4" w:space="0"/>
              <w:left w:val="single" w:color="000000" w:sz="4" w:space="0"/>
              <w:bottom w:val="single" w:color="000000" w:sz="4" w:space="0"/>
              <w:right w:val="single" w:color="000000" w:sz="4" w:space="0"/>
            </w:tcBorders>
            <w:tcW w:w="2430" w:type="dxa"/>
            <w:textDirection w:val="lrTb"/>
            <w:noWrap w:val="false"/>
          </w:tcPr>
          <w:p>
            <w:pPr>
              <w:spacing w:after="120"/>
              <w:rPr>
                <w:rFonts w:eastAsia="Calibri"/>
                <w:sz w:val="20"/>
              </w:rPr>
            </w:pPr>
            <w:r>
              <w:rPr>
                <w:rFonts w:eastAsia="Calibri"/>
                <w:sz w:val="20"/>
              </w:rPr>
              <w:t xml:space="preserve">Сертификат </w:t>
            </w:r>
            <w:r>
              <w:rPr>
                <w:rFonts w:eastAsia="Calibri"/>
                <w:sz w:val="20"/>
              </w:rPr>
              <w:t xml:space="preserve">вендора</w:t>
            </w:r>
            <w:r>
              <w:rPr>
                <w:rFonts w:eastAsia="Calibri"/>
                <w:sz w:val="20"/>
              </w:rPr>
              <w:t xml:space="preserve"> </w:t>
            </w:r>
            <w:r>
              <w:rPr>
                <w:rFonts w:eastAsia="Calibri"/>
                <w:sz w:val="20"/>
              </w:rPr>
              <w:t xml:space="preserve">BPMSoft</w:t>
            </w:r>
            <w:r>
              <w:rPr>
                <w:rFonts w:eastAsia="Calibri"/>
                <w:sz w:val="20"/>
              </w:rPr>
              <w:t xml:space="preserve"> «Сертификат PRO. Разработчик. Продвинутый уровень», сертификат </w:t>
            </w:r>
            <w:r>
              <w:rPr>
                <w:rFonts w:eastAsia="Calibri"/>
                <w:sz w:val="20"/>
                <w:lang w:val="en-US"/>
              </w:rPr>
              <w:t xml:space="preserve">ITIL</w:t>
            </w:r>
            <w:r>
              <w:rPr>
                <w:rFonts w:eastAsia="Calibri"/>
                <w:sz w:val="20"/>
              </w:rPr>
              <w:t xml:space="preserve"> (или Удостоверение о повышении квалификации в направлении </w:t>
            </w:r>
            <w:r>
              <w:rPr>
                <w:rFonts w:eastAsia="Calibri"/>
                <w:sz w:val="20"/>
                <w:lang w:val="en-US"/>
              </w:rPr>
              <w:t xml:space="preserve">ITIL</w:t>
            </w:r>
            <w:r>
              <w:rPr>
                <w:rFonts w:eastAsia="Calibri"/>
                <w:sz w:val="20"/>
              </w:rPr>
              <w:t xml:space="preserve">), а также резюме работника</w:t>
            </w:r>
            <w:r>
              <w:rPr>
                <w:rFonts w:eastAsia="Calibri"/>
                <w:sz w:val="20"/>
              </w:rPr>
            </w:r>
          </w:p>
        </w:tc>
        <w:tc>
          <w:tcPr>
            <w:shd w:val="clear" w:color="auto" w:fill="ffffff"/>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jc w:val="center"/>
              <w:spacing w:after="120"/>
              <w:rPr>
                <w:rFonts w:eastAsia="Calibri"/>
                <w:bCs/>
                <w:sz w:val="20"/>
                <w:lang w:eastAsia="en-US"/>
              </w:rPr>
            </w:pPr>
            <w:r>
              <w:rPr>
                <w:rFonts w:eastAsia="Calibri"/>
                <w:bCs/>
                <w:sz w:val="20"/>
              </w:rPr>
              <w:t xml:space="preserve">не </w:t>
            </w:r>
            <w:r>
              <w:rPr>
                <w:rFonts w:eastAsia="Calibri"/>
                <w:sz w:val="20"/>
              </w:rPr>
              <w:t xml:space="preserve">менее </w:t>
            </w:r>
            <w:r>
              <w:rPr>
                <w:rFonts w:eastAsia="Calibri"/>
                <w:bCs/>
                <w:sz w:val="20"/>
              </w:rPr>
              <w:t xml:space="preserve">1 </w:t>
            </w:r>
            <w:r>
              <w:rPr>
                <w:rFonts w:eastAsia="Calibri"/>
                <w:bCs/>
                <w:sz w:val="20"/>
                <w:lang w:val="en-US"/>
              </w:rPr>
              <w:t xml:space="preserve">(K</w:t>
            </w:r>
            <w:r>
              <w:rPr>
                <w:rFonts w:eastAsia="Calibri"/>
                <w:bCs/>
                <w:sz w:val="20"/>
                <w:vertAlign w:val="subscript"/>
              </w:rPr>
              <w:t xml:space="preserve">3</w:t>
            </w:r>
            <w:r>
              <w:rPr>
                <w:rFonts w:eastAsia="Calibri"/>
                <w:bCs/>
                <w:sz w:val="20"/>
                <w:vertAlign w:val="subscript"/>
                <w:lang w:val="en-US"/>
              </w:rPr>
              <w:t xml:space="preserve">min</w:t>
            </w:r>
            <w:r>
              <w:rPr>
                <w:rFonts w:eastAsia="Calibri"/>
                <w:bCs/>
                <w:sz w:val="20"/>
                <w:lang w:val="en-US"/>
              </w:rPr>
              <w:t xml:space="preserve">)</w:t>
            </w:r>
            <w:r>
              <w:rPr>
                <w:rFonts w:eastAsia="Calibri"/>
                <w:bCs/>
                <w:sz w:val="20"/>
                <w:lang w:eastAsia="en-US"/>
              </w:rPr>
            </w:r>
          </w:p>
        </w:tc>
      </w:tr>
    </w:tbl>
    <w:p>
      <w:pPr>
        <w:ind w:firstLine="709"/>
        <w:spacing w:after="120"/>
        <w:shd w:val="clear" w:color="auto" w:fill="ffffff"/>
        <w:rPr>
          <w:bCs/>
        </w:rPr>
      </w:pPr>
      <w:r>
        <w:rPr>
          <w:bCs/>
        </w:rPr>
        <w:t xml:space="preserve">Для каждой из указанных в таблице 1 специальностей проводится промежуточный расчет рейтинга каждой заявки по следующей формуле:</w:t>
      </w:r>
      <w:r>
        <w:rPr>
          <w:bCs/>
        </w:rPr>
      </w:r>
    </w:p>
    <w:p>
      <w:pPr>
        <w:ind w:firstLine="709"/>
        <w:jc w:val="center"/>
        <w:rPr>
          <w:rFonts w:eastAsia="Calibri"/>
          <w:bCs/>
          <w:i/>
          <w:sz w:val="22"/>
          <w:szCs w:val="22"/>
        </w:rPr>
      </w:pPr>
      <w:r>
        <w:rPr>
          <w:rFonts w:eastAsia="Calibri"/>
          <w:bCs/>
          <w:i/>
          <w:sz w:val="22"/>
          <w:szCs w:val="22"/>
          <w:lang w:val="en-US"/>
        </w:rPr>
        <w:t xml:space="preserve">K</w:t>
      </w:r>
      <w:r>
        <w:rPr>
          <w:rFonts w:eastAsia="Calibri"/>
          <w:bCs/>
          <w:i/>
          <w:sz w:val="22"/>
          <w:szCs w:val="22"/>
          <w:vertAlign w:val="subscript"/>
          <w:lang w:val="en-US"/>
        </w:rPr>
        <w:t xml:space="preserve">ji</w:t>
      </w:r>
      <w:r>
        <w:rPr>
          <w:rFonts w:eastAsia="Calibri"/>
          <w:bCs/>
          <w:i/>
          <w:sz w:val="22"/>
          <w:szCs w:val="22"/>
        </w:rPr>
      </w:r>
    </w:p>
    <w:p>
      <w:pPr>
        <w:ind w:firstLine="709"/>
        <w:jc w:val="center"/>
        <w:rPr>
          <w:rFonts w:eastAsia="Calibri"/>
          <w:bCs/>
          <w:i/>
          <w:sz w:val="22"/>
          <w:szCs w:val="22"/>
        </w:rPr>
      </w:pPr>
      <w:r>
        <w:rPr>
          <w:rFonts w:eastAsia="Calibri"/>
          <w:bCs/>
          <w:i/>
          <w:sz w:val="22"/>
          <w:szCs w:val="22"/>
          <w:lang w:val="en-US"/>
        </w:rPr>
        <w:t xml:space="preserve">R</w:t>
      </w:r>
      <w:r>
        <w:rPr>
          <w:rFonts w:eastAsia="Calibri"/>
          <w:bCs/>
          <w:i/>
          <w:sz w:val="22"/>
          <w:szCs w:val="22"/>
          <w:vertAlign w:val="subscript"/>
          <w:lang w:val="en-US"/>
        </w:rPr>
        <w:t xml:space="preserve">kji</w:t>
      </w:r>
      <w:r>
        <w:rPr>
          <w:rFonts w:eastAsia="Calibri"/>
          <w:bCs/>
          <w:i/>
          <w:sz w:val="22"/>
          <w:szCs w:val="22"/>
          <w:vertAlign w:val="subscript"/>
        </w:rPr>
        <w:t xml:space="preserve">    </w:t>
      </w:r>
      <w:r>
        <w:rPr>
          <w:rFonts w:eastAsia="Calibri"/>
          <w:bCs/>
          <w:i/>
          <w:sz w:val="22"/>
          <w:szCs w:val="22"/>
        </w:rPr>
        <w:t xml:space="preserve">= ----------*100, где:</w:t>
      </w:r>
      <w:r>
        <w:rPr>
          <w:rFonts w:eastAsia="Calibri"/>
          <w:bCs/>
          <w:i/>
          <w:sz w:val="22"/>
          <w:szCs w:val="22"/>
        </w:rPr>
      </w:r>
    </w:p>
    <w:p>
      <w:pPr>
        <w:contextualSpacing/>
        <w:ind w:firstLine="709"/>
        <w:jc w:val="center"/>
        <w:spacing w:after="200" w:line="360" w:lineRule="auto"/>
        <w:rPr>
          <w:rFonts w:eastAsia="Calibri"/>
          <w:bCs/>
          <w:i/>
          <w:sz w:val="22"/>
          <w:szCs w:val="22"/>
        </w:rPr>
      </w:pPr>
      <w:r>
        <w:rPr>
          <w:rFonts w:eastAsia="Calibri"/>
          <w:bCs/>
          <w:i/>
          <w:sz w:val="22"/>
          <w:szCs w:val="22"/>
          <w:lang w:val="en-US"/>
        </w:rPr>
        <w:t xml:space="preserve">K</w:t>
      </w:r>
      <w:r>
        <w:rPr>
          <w:rFonts w:eastAsia="Calibri"/>
          <w:bCs/>
          <w:i/>
          <w:sz w:val="22"/>
          <w:szCs w:val="22"/>
          <w:vertAlign w:val="subscript"/>
          <w:lang w:val="en-US"/>
        </w:rPr>
        <w:t xml:space="preserve">jmin</w:t>
      </w:r>
      <w:r>
        <w:rPr>
          <w:rFonts w:eastAsia="Calibri"/>
          <w:bCs/>
          <w:i/>
          <w:sz w:val="22"/>
          <w:szCs w:val="22"/>
        </w:rPr>
        <w:fldChar w:fldCharType="begin"/>
      </w:r>
      <w:r>
        <w:rPr>
          <w:rFonts w:eastAsia="Calibri"/>
          <w:bCs/>
          <w:i/>
          <w:sz w:val="22"/>
          <w:szCs w:val="22"/>
        </w:rPr>
        <w:instrText xml:space="preserve"> </w:instrText>
      </w:r>
      <w:r>
        <w:rPr>
          <w:rFonts w:eastAsia="Calibri"/>
          <w:bCs/>
          <w:i/>
          <w:sz w:val="22"/>
          <w:szCs w:val="22"/>
          <w:lang w:val="en-US"/>
        </w:rPr>
        <w:instrText xml:space="preserve">QUOTE</w:instrText>
      </w:r>
      <w:r>
        <w:rPr>
          <w:rFonts w:eastAsia="Calibri"/>
          <w:bCs/>
          <w:i/>
          <w:sz w:val="22"/>
          <w:szCs w:val="22"/>
        </w:rPr>
        <w:instrText xml:space="preserve"> </w:instrText>
      </w:r>
      <m:oMath>
        <m:sSub>
          <m:sSubPr>
            <m:ctrlPr>
              <w:rPr>
                <w:rFonts w:ascii="Cambria Math" w:hAnsi="Cambria Math" w:eastAsia="Calibri"/>
                <w:bCs/>
                <w:i/>
                <w:sz w:val="22"/>
                <w:szCs w:val="22"/>
                <w:lang w:val="en-US"/>
              </w:rPr>
            </m:ctrlPr>
          </m:sSubPr>
          <m:e>
            <m:r>
              <w:rPr>
                <w:rFonts w:ascii="Cambria Math" w:hAnsi="Cambria Math" w:eastAsia="Calibri"/>
                <w:sz w:val="22"/>
                <w:szCs w:val="22"/>
                <w:lang w:val="en-US"/>
              </w:rPr>
              <m:rPr>
                <m:sty m:val="p"/>
              </m:rPr>
              <m:t>R</m:t>
            </m:r>
          </m:e>
          <m:sub>
            <m:r>
              <w:rPr>
                <w:rFonts w:ascii="Cambria Math" w:hAnsi="Cambria Math" w:eastAsia="Calibri"/>
                <w:sz w:val="22"/>
                <w:szCs w:val="22"/>
                <w:vertAlign w:val="subscript"/>
                <w:lang w:val="en-US"/>
              </w:rPr>
              <m:rPr>
                <m:sty m:val="p"/>
              </m:rPr>
              <m:t>k</m:t>
            </m:r>
            <m:r>
              <w:rPr>
                <w:rFonts w:ascii="Cambria Math" w:hAnsi="Cambria Math" w:eastAsia="Calibri"/>
                <w:sz w:val="22"/>
                <w:szCs w:val="22"/>
                <w:vertAlign w:val="subscript"/>
              </w:rPr>
              <m:rPr>
                <m:sty m:val="p"/>
              </m:rPr>
              <m:t>1</m:t>
            </m:r>
            <m:r>
              <w:rPr>
                <w:rFonts w:ascii="Cambria Math" w:hAnsi="Cambria Math" w:eastAsia="Calibri"/>
                <w:sz w:val="22"/>
                <w:szCs w:val="22"/>
                <w:vertAlign w:val="subscript"/>
                <w:lang w:val="en-US"/>
              </w:rPr>
              <m:rPr>
                <m:sty m:val="p"/>
              </m:rPr>
              <m:t>i</m:t>
            </m:r>
          </m:sub>
        </m:sSub>
        <m:r>
          <w:rPr>
            <w:rFonts w:ascii="Cambria Math" w:hAnsi="Cambria Math" w:eastAsia="Calibri"/>
            <w:sz w:val="22"/>
            <w:szCs w:val="22"/>
          </w:rPr>
          <m:rPr>
            <m:sty m:val="p"/>
          </m:rPr>
          <m:t>=</m:t>
        </m:r>
        <m:f>
          <m:fPr>
            <m:ctrlPr>
              <w:rPr>
                <w:rFonts w:ascii="Cambria Math" w:hAnsi="Cambria Math" w:eastAsia="Calibri"/>
                <w:bCs/>
                <w:i/>
                <w:sz w:val="22"/>
                <w:szCs w:val="22"/>
              </w:rPr>
            </m:ctrlPr>
          </m:fPr>
          <m:num>
            <m:sSub>
              <m:sSubPr>
                <m:ctrlPr>
                  <w:rPr>
                    <w:rFonts w:ascii="Cambria Math" w:hAnsi="Cambria Math" w:eastAsia="Calibri"/>
                    <w:bCs/>
                    <w:i/>
                    <w:sz w:val="22"/>
                    <w:szCs w:val="22"/>
                  </w:rPr>
                </m:ctrlPr>
              </m:sSubPr>
              <m:e>
                <m:r>
                  <w:rPr>
                    <w:rFonts w:ascii="Cambria Math" w:hAnsi="Cambria Math" w:eastAsia="Calibri"/>
                    <w:sz w:val="22"/>
                    <w:szCs w:val="22"/>
                  </w:rPr>
                  <m:rPr>
                    <m:sty m:val="p"/>
                  </m:rPr>
                  <m:t>K</m:t>
                </m:r>
              </m:e>
              <m:sub>
                <m:r>
                  <w:rPr>
                    <w:rFonts w:ascii="Cambria Math" w:hAnsi="Cambria Math" w:eastAsia="Calibri"/>
                    <w:sz w:val="22"/>
                    <w:szCs w:val="22"/>
                  </w:rPr>
                  <m:rPr>
                    <m:sty m:val="p"/>
                  </m:rPr>
                  <m:t>1i</m:t>
                </m:r>
              </m:sub>
            </m:sSub>
          </m:num>
          <m:den>
            <m:sSub>
              <m:sSubPr>
                <m:ctrlPr>
                  <w:rPr>
                    <w:rFonts w:ascii="Cambria Math" w:hAnsi="Cambria Math" w:eastAsia="Calibri"/>
                    <w:bCs/>
                    <w:i/>
                    <w:sz w:val="22"/>
                    <w:szCs w:val="22"/>
                  </w:rPr>
                </m:ctrlPr>
              </m:sSubPr>
              <m:e>
                <m:r>
                  <w:rPr>
                    <w:rFonts w:ascii="Cambria Math" w:hAnsi="Cambria Math" w:eastAsia="Calibri"/>
                    <w:sz w:val="22"/>
                    <w:szCs w:val="22"/>
                  </w:rPr>
                  <m:rPr>
                    <m:sty m:val="p"/>
                  </m:rPr>
                  <m:t>K</m:t>
                </m:r>
              </m:e>
              <m:sub>
                <m:r>
                  <w:rPr>
                    <w:rFonts w:ascii="Cambria Math" w:hAnsi="Cambria Math" w:eastAsia="Calibri"/>
                    <w:sz w:val="22"/>
                    <w:szCs w:val="22"/>
                  </w:rPr>
                  <m:rPr>
                    <m:sty m:val="p"/>
                  </m:rPr>
                  <m:t>1max</m:t>
                </m:r>
              </m:sub>
            </m:sSub>
          </m:den>
        </m:f>
        <m:r>
          <w:rPr>
            <w:rFonts w:ascii="Cambria Math" w:hAnsi="Cambria Math" w:eastAsia="Calibri"/>
            <w:sz w:val="22"/>
            <w:szCs w:val="22"/>
          </w:rPr>
          <m:rPr>
            <m:sty m:val="p"/>
          </m:rPr>
          <m:t>*100</m:t>
        </m:r>
      </m:oMath>
      <w:r>
        <w:rPr>
          <w:rFonts w:eastAsia="Calibri"/>
          <w:bCs/>
          <w:i/>
          <w:sz w:val="22"/>
          <w:szCs w:val="22"/>
        </w:rPr>
        <w:instrText xml:space="preserve"> </w:instrText>
      </w:r>
      <w:r>
        <w:rPr>
          <w:rFonts w:eastAsia="Calibri"/>
          <w:bCs/>
          <w:i/>
          <w:sz w:val="22"/>
          <w:szCs w:val="22"/>
        </w:rPr>
        <w:fldChar w:fldCharType="end"/>
      </w:r>
      <w:r>
        <w:rPr>
          <w:rFonts w:eastAsia="Calibri"/>
          <w:bCs/>
          <w:i/>
          <w:sz w:val="22"/>
          <w:szCs w:val="22"/>
        </w:rPr>
      </w:r>
    </w:p>
    <w:p>
      <w:pPr>
        <w:contextualSpacing/>
        <w:ind w:firstLine="709"/>
        <w:spacing w:after="200" w:line="360" w:lineRule="auto"/>
        <w:rPr>
          <w:rFonts w:eastAsia="Calibri"/>
          <w:bCs/>
          <w:i/>
          <w:sz w:val="20"/>
          <w:szCs w:val="20"/>
        </w:rPr>
      </w:pPr>
      <w:r>
        <w:rPr>
          <w:rFonts w:eastAsia="Calibri"/>
          <w:bCs/>
          <w:i/>
          <w:sz w:val="20"/>
          <w:szCs w:val="20"/>
        </w:rPr>
      </w:r>
      <w:r>
        <w:rPr>
          <w:rFonts w:eastAsia="Calibri"/>
          <w:bCs/>
          <w:i/>
          <w:sz w:val="20"/>
          <w:szCs w:val="20"/>
        </w:rPr>
      </w:r>
    </w:p>
    <w:p>
      <w:pPr>
        <w:contextualSpacing/>
        <w:ind w:left="709"/>
        <w:spacing w:after="200"/>
        <w:rPr>
          <w:rFonts w:eastAsia="Calibri"/>
          <w:bCs/>
          <w:iCs/>
          <w:sz w:val="22"/>
          <w:szCs w:val="22"/>
        </w:rPr>
      </w:pPr>
      <w:r>
        <w:rPr>
          <w:rFonts w:eastAsia="Calibri"/>
          <w:bCs/>
          <w:sz w:val="22"/>
          <w:szCs w:val="22"/>
          <w:lang w:val="en-US"/>
        </w:rPr>
        <w:t xml:space="preserve">R</w:t>
      </w:r>
      <w:r>
        <w:rPr>
          <w:rFonts w:eastAsia="Calibri"/>
          <w:bCs/>
          <w:sz w:val="22"/>
          <w:szCs w:val="22"/>
          <w:vertAlign w:val="subscript"/>
          <w:lang w:val="en-US"/>
        </w:rPr>
        <w:t xml:space="preserve">kji</w:t>
      </w:r>
      <w:r>
        <w:rPr>
          <w:rFonts w:eastAsia="Calibri"/>
          <w:bCs/>
          <w:sz w:val="22"/>
          <w:szCs w:val="22"/>
          <w:vertAlign w:val="subscript"/>
        </w:rPr>
        <w:t xml:space="preserve"> </w:t>
      </w:r>
      <w:r>
        <w:rPr>
          <w:rFonts w:eastAsia="Calibri"/>
          <w:bCs/>
          <w:iCs/>
          <w:sz w:val="22"/>
          <w:szCs w:val="22"/>
        </w:rPr>
        <w:t xml:space="preserve">– </w:t>
      </w:r>
      <w:r>
        <w:rPr>
          <w:rFonts w:eastAsia="Calibri"/>
          <w:bCs/>
          <w:sz w:val="22"/>
          <w:szCs w:val="22"/>
        </w:rPr>
        <w:t xml:space="preserve">промежуточный</w:t>
      </w:r>
      <w:r>
        <w:rPr>
          <w:rFonts w:eastAsia="Calibri"/>
          <w:bCs/>
          <w:iCs/>
          <w:sz w:val="22"/>
          <w:szCs w:val="22"/>
        </w:rPr>
        <w:t xml:space="preserve"> </w:t>
      </w:r>
      <w:r>
        <w:rPr>
          <w:rFonts w:eastAsia="Calibri"/>
          <w:bCs/>
          <w:sz w:val="22"/>
          <w:szCs w:val="22"/>
        </w:rPr>
        <w:t xml:space="preserve">рейтинг заявки </w:t>
      </w:r>
      <w:r>
        <w:rPr>
          <w:rFonts w:eastAsia="Calibri"/>
          <w:bCs/>
          <w:sz w:val="22"/>
          <w:szCs w:val="22"/>
          <w:lang w:val="en-US"/>
        </w:rPr>
        <w:t xml:space="preserve">i</w:t>
      </w:r>
      <w:r>
        <w:rPr>
          <w:rFonts w:eastAsia="Calibri"/>
          <w:bCs/>
          <w:sz w:val="22"/>
          <w:szCs w:val="22"/>
        </w:rPr>
        <w:t xml:space="preserve">-го участника по </w:t>
      </w:r>
      <w:r>
        <w:rPr>
          <w:rFonts w:eastAsia="Calibri"/>
          <w:bCs/>
          <w:sz w:val="22"/>
          <w:szCs w:val="22"/>
          <w:lang w:val="en-US"/>
        </w:rPr>
        <w:t xml:space="preserve">j</w:t>
      </w:r>
      <w:r>
        <w:rPr>
          <w:rFonts w:eastAsia="Calibri"/>
          <w:bCs/>
          <w:sz w:val="22"/>
          <w:szCs w:val="22"/>
        </w:rPr>
        <w:t xml:space="preserve">-й специальности;</w:t>
      </w:r>
      <w:r>
        <w:rPr>
          <w:rFonts w:eastAsia="Calibri"/>
          <w:bCs/>
          <w:iCs/>
          <w:sz w:val="22"/>
          <w:szCs w:val="22"/>
        </w:rPr>
      </w:r>
    </w:p>
    <w:p>
      <w:pPr>
        <w:contextualSpacing/>
        <w:ind w:left="709"/>
        <w:spacing w:after="200"/>
        <w:rPr>
          <w:rFonts w:eastAsia="Calibri"/>
          <w:bCs/>
          <w:sz w:val="22"/>
          <w:szCs w:val="22"/>
        </w:rPr>
      </w:pPr>
      <w:r>
        <w:rPr>
          <w:rFonts w:eastAsia="Calibri"/>
          <w:bCs/>
          <w:sz w:val="22"/>
          <w:szCs w:val="22"/>
        </w:rPr>
        <w:t xml:space="preserve">К</w:t>
      </w:r>
      <w:r>
        <w:rPr>
          <w:rFonts w:eastAsia="Calibri"/>
          <w:bCs/>
          <w:sz w:val="22"/>
          <w:szCs w:val="22"/>
          <w:vertAlign w:val="subscript"/>
          <w:lang w:val="en-US"/>
        </w:rPr>
        <w:t xml:space="preserve">ji</w:t>
      </w:r>
      <w:r>
        <w:rPr>
          <w:rFonts w:eastAsia="Calibri"/>
          <w:bCs/>
          <w:sz w:val="22"/>
          <w:szCs w:val="22"/>
        </w:rPr>
        <w:t xml:space="preserve"> – количество работников по </w:t>
      </w:r>
      <w:r>
        <w:rPr>
          <w:rFonts w:eastAsia="Calibri"/>
          <w:bCs/>
          <w:sz w:val="22"/>
          <w:szCs w:val="22"/>
          <w:lang w:val="en-US"/>
        </w:rPr>
        <w:t xml:space="preserve">j</w:t>
      </w:r>
      <w:r>
        <w:rPr>
          <w:rFonts w:eastAsia="Calibri"/>
          <w:bCs/>
          <w:sz w:val="22"/>
          <w:szCs w:val="22"/>
        </w:rPr>
        <w:t xml:space="preserve">-й специальности, привлекаемых </w:t>
      </w:r>
      <w:r>
        <w:rPr>
          <w:rFonts w:eastAsia="Calibri"/>
          <w:bCs/>
          <w:sz w:val="22"/>
          <w:szCs w:val="22"/>
          <w:lang w:val="en-US"/>
        </w:rPr>
        <w:t xml:space="preserve">i</w:t>
      </w:r>
      <w:r>
        <w:rPr>
          <w:rFonts w:eastAsia="Calibri"/>
          <w:bCs/>
          <w:sz w:val="22"/>
          <w:szCs w:val="22"/>
        </w:rPr>
        <w:t xml:space="preserve">-м участником</w:t>
      </w:r>
      <w:r>
        <w:rPr>
          <w:rFonts w:eastAsia="Calibri"/>
          <w:bCs/>
          <w:sz w:val="22"/>
          <w:szCs w:val="22"/>
        </w:rPr>
        <w:t xml:space="preserve">, согласно справке о привлекаемых кадровых ресурсах и подтвержденное копиями страниц трудовых книжек и/или копиями трудовых договоров и/или иных документов в соответствии с законодательством РФ, подтверждающих трудовые взаимоотношения, а также резюме сотру</w:t>
      </w:r>
      <w:r>
        <w:rPr>
          <w:rFonts w:eastAsia="Calibri"/>
          <w:bCs/>
          <w:sz w:val="22"/>
          <w:szCs w:val="22"/>
        </w:rPr>
        <w:t xml:space="preserve">д</w:t>
      </w:r>
      <w:r>
        <w:rPr>
          <w:rFonts w:eastAsia="Calibri"/>
          <w:bCs/>
          <w:sz w:val="22"/>
          <w:szCs w:val="22"/>
        </w:rPr>
        <w:t xml:space="preserve">ников, документов об образовании;</w:t>
      </w:r>
      <w:r>
        <w:rPr>
          <w:rFonts w:eastAsia="Calibri"/>
          <w:bCs/>
          <w:sz w:val="22"/>
          <w:szCs w:val="22"/>
        </w:rPr>
      </w:r>
    </w:p>
    <w:p>
      <w:pPr>
        <w:contextualSpacing/>
        <w:ind w:left="709"/>
        <w:spacing w:after="200"/>
        <w:rPr>
          <w:rFonts w:eastAsia="Calibri"/>
          <w:bCs/>
          <w:sz w:val="22"/>
          <w:szCs w:val="22"/>
        </w:rPr>
      </w:pPr>
      <w:r>
        <w:rPr>
          <w:rFonts w:eastAsia="Calibri"/>
          <w:bCs/>
          <w:sz w:val="22"/>
          <w:szCs w:val="22"/>
          <w:lang w:val="en-US"/>
        </w:rPr>
        <w:t xml:space="preserve">K</w:t>
      </w:r>
      <w:r>
        <w:rPr>
          <w:rFonts w:eastAsia="Calibri"/>
          <w:bCs/>
          <w:sz w:val="22"/>
          <w:szCs w:val="22"/>
          <w:vertAlign w:val="subscript"/>
          <w:lang w:val="en-US"/>
        </w:rPr>
        <w:t xml:space="preserve">jmin</w:t>
      </w:r>
      <w:r>
        <w:rPr>
          <w:rFonts w:eastAsia="Calibri"/>
          <w:bCs/>
          <w:sz w:val="22"/>
          <w:szCs w:val="22"/>
        </w:rPr>
        <w:t xml:space="preserve"> – расчетное количество работников по </w:t>
      </w:r>
      <w:r>
        <w:rPr>
          <w:rFonts w:eastAsia="Calibri"/>
          <w:bCs/>
          <w:sz w:val="22"/>
          <w:szCs w:val="22"/>
          <w:lang w:val="en-US"/>
        </w:rPr>
        <w:t xml:space="preserve">j</w:t>
      </w:r>
      <w:r>
        <w:rPr>
          <w:rFonts w:eastAsia="Calibri"/>
          <w:bCs/>
          <w:sz w:val="22"/>
          <w:szCs w:val="22"/>
        </w:rPr>
        <w:t xml:space="preserve">-й специальности, указанное в таблице 1.</w:t>
      </w:r>
      <w:r>
        <w:rPr>
          <w:rFonts w:eastAsia="Calibri"/>
          <w:bCs/>
          <w:sz w:val="22"/>
          <w:szCs w:val="22"/>
        </w:rPr>
      </w:r>
    </w:p>
    <w:p>
      <w:pPr>
        <w:contextualSpacing/>
        <w:ind w:left="709"/>
        <w:spacing w:after="200"/>
        <w:rPr>
          <w:rFonts w:eastAsia="Calibri"/>
          <w:bCs/>
          <w:i/>
          <w:sz w:val="22"/>
          <w:szCs w:val="22"/>
        </w:rPr>
      </w:pPr>
      <w:r>
        <w:rPr>
          <w:rFonts w:eastAsia="Calibri"/>
          <w:bCs/>
          <w:i/>
          <w:sz w:val="22"/>
          <w:szCs w:val="22"/>
        </w:rPr>
      </w:r>
      <w:r>
        <w:rPr>
          <w:rFonts w:eastAsia="Calibri"/>
          <w:bCs/>
          <w:i/>
          <w:sz w:val="22"/>
          <w:szCs w:val="22"/>
        </w:rPr>
      </w:r>
    </w:p>
    <w:p>
      <w:pPr>
        <w:contextualSpacing/>
        <w:ind w:left="709"/>
        <w:spacing w:after="200"/>
        <w:rPr>
          <w:rFonts w:eastAsia="Calibri"/>
          <w:bCs/>
          <w:sz w:val="22"/>
          <w:szCs w:val="22"/>
        </w:rPr>
      </w:pPr>
      <w:r>
        <w:rPr>
          <w:rFonts w:eastAsia="Calibri"/>
          <w:bCs/>
          <w:sz w:val="22"/>
          <w:szCs w:val="22"/>
        </w:rPr>
        <w:t xml:space="preserve">При этом:</w:t>
      </w:r>
      <w:r>
        <w:rPr>
          <w:rFonts w:eastAsia="Calibri"/>
          <w:bCs/>
          <w:sz w:val="22"/>
          <w:szCs w:val="22"/>
        </w:rPr>
      </w:r>
    </w:p>
    <w:p>
      <w:pPr>
        <w:numPr>
          <w:ilvl w:val="0"/>
          <w:numId w:val="62"/>
        </w:numPr>
        <w:contextualSpacing/>
        <w:spacing w:after="200"/>
        <w:rPr>
          <w:rFonts w:eastAsia="Calibri"/>
          <w:bCs/>
          <w:sz w:val="22"/>
          <w:szCs w:val="22"/>
        </w:rPr>
      </w:pPr>
      <w:r>
        <w:rPr>
          <w:rFonts w:eastAsia="Calibri"/>
          <w:bCs/>
          <w:sz w:val="22"/>
          <w:szCs w:val="22"/>
        </w:rPr>
        <w:t xml:space="preserve">если в справке о привлекаемых кадровых ресурсах не указаны работники по </w:t>
      </w:r>
      <w:r>
        <w:rPr>
          <w:rFonts w:eastAsia="Calibri"/>
          <w:bCs/>
          <w:sz w:val="22"/>
          <w:szCs w:val="22"/>
          <w:lang w:val="en-US"/>
        </w:rPr>
        <w:t xml:space="preserve">j</w:t>
      </w:r>
      <w:r>
        <w:rPr>
          <w:rFonts w:eastAsia="Calibri"/>
          <w:bCs/>
          <w:sz w:val="22"/>
          <w:szCs w:val="22"/>
        </w:rPr>
        <w:t xml:space="preserve">-й специальности и/или отсутствуют копии страниц трудовых книжек и/или копии трудовых договоров и/или иные документы в соответствии с законодательством РФ, подтверждающих трудовые взаимоотношения с работниками по </w:t>
      </w:r>
      <w:r>
        <w:rPr>
          <w:rFonts w:eastAsia="Calibri"/>
          <w:bCs/>
          <w:sz w:val="22"/>
          <w:szCs w:val="22"/>
          <w:lang w:val="en-US"/>
        </w:rPr>
        <w:t xml:space="preserve">j</w:t>
      </w:r>
      <w:r>
        <w:rPr>
          <w:rFonts w:eastAsia="Calibri"/>
          <w:bCs/>
          <w:sz w:val="22"/>
          <w:szCs w:val="22"/>
        </w:rPr>
        <w:t xml:space="preserve">-й специал</w:t>
      </w:r>
      <w:r>
        <w:rPr>
          <w:rFonts w:eastAsia="Calibri"/>
          <w:bCs/>
          <w:sz w:val="22"/>
          <w:szCs w:val="22"/>
        </w:rPr>
        <w:t xml:space="preserve">ь</w:t>
      </w:r>
      <w:r>
        <w:rPr>
          <w:rFonts w:eastAsia="Calibri"/>
          <w:bCs/>
          <w:sz w:val="22"/>
          <w:szCs w:val="22"/>
        </w:rPr>
        <w:t xml:space="preserve">ности, и/или отсутствуют резюме сотрудников и/или документы об образовании, промежуточный рейтинг заявки данного участника по </w:t>
      </w:r>
      <w:r>
        <w:rPr>
          <w:rFonts w:eastAsia="Calibri"/>
          <w:bCs/>
          <w:sz w:val="22"/>
          <w:szCs w:val="22"/>
          <w:lang w:val="en-US"/>
        </w:rPr>
        <w:t xml:space="preserve">j</w:t>
      </w:r>
      <w:r>
        <w:rPr>
          <w:rFonts w:eastAsia="Calibri"/>
          <w:bCs/>
          <w:sz w:val="22"/>
          <w:szCs w:val="22"/>
        </w:rPr>
        <w:t xml:space="preserve">-й специальности</w:t>
      </w:r>
      <w:r>
        <w:rPr>
          <w:rFonts w:eastAsia="Calibri"/>
          <w:bCs/>
          <w:sz w:val="22"/>
          <w:szCs w:val="22"/>
        </w:rPr>
        <w:t xml:space="preserve"> </w:t>
      </w:r>
      <w:r>
        <w:rPr>
          <w:rFonts w:eastAsia="Calibri"/>
          <w:bCs/>
          <w:sz w:val="22"/>
          <w:szCs w:val="22"/>
        </w:rPr>
        <w:t xml:space="preserve">равен</w:t>
      </w:r>
      <w:r>
        <w:rPr>
          <w:rFonts w:eastAsia="Calibri"/>
          <w:bCs/>
          <w:sz w:val="22"/>
          <w:szCs w:val="22"/>
        </w:rPr>
        <w:t xml:space="preserve"> 0 баллов;</w:t>
      </w:r>
      <w:r>
        <w:rPr>
          <w:rFonts w:eastAsia="Calibri"/>
          <w:bCs/>
          <w:sz w:val="22"/>
          <w:szCs w:val="22"/>
        </w:rPr>
      </w:r>
    </w:p>
    <w:p>
      <w:pPr>
        <w:numPr>
          <w:ilvl w:val="0"/>
          <w:numId w:val="62"/>
        </w:numPr>
        <w:contextualSpacing/>
        <w:spacing w:after="200"/>
        <w:rPr>
          <w:rFonts w:eastAsia="Calibri"/>
          <w:bCs/>
          <w:sz w:val="22"/>
          <w:szCs w:val="22"/>
        </w:rPr>
      </w:pPr>
      <w:r>
        <w:rPr>
          <w:rFonts w:eastAsia="Calibri"/>
          <w:bCs/>
          <w:sz w:val="22"/>
          <w:szCs w:val="22"/>
        </w:rPr>
        <w:t xml:space="preserve">если указанное в справке о привлекаемых кадровых ресурсах и подтвержденное копиями страниц трудовых книжек и/или копиями трудовых договоров и/или ин</w:t>
      </w:r>
      <w:r>
        <w:rPr>
          <w:rFonts w:eastAsia="Calibri"/>
          <w:bCs/>
          <w:sz w:val="22"/>
          <w:szCs w:val="22"/>
        </w:rPr>
        <w:t xml:space="preserve">ы</w:t>
      </w:r>
      <w:r>
        <w:rPr>
          <w:rFonts w:eastAsia="Calibri"/>
          <w:bCs/>
          <w:sz w:val="22"/>
          <w:szCs w:val="22"/>
        </w:rPr>
        <w:t xml:space="preserve">ми документами в соответствии с законодательством РФ, подтверждающими тр</w:t>
      </w:r>
      <w:r>
        <w:rPr>
          <w:rFonts w:eastAsia="Calibri"/>
          <w:bCs/>
          <w:sz w:val="22"/>
          <w:szCs w:val="22"/>
        </w:rPr>
        <w:t xml:space="preserve">у</w:t>
      </w:r>
      <w:r>
        <w:rPr>
          <w:rFonts w:eastAsia="Calibri"/>
          <w:bCs/>
          <w:sz w:val="22"/>
          <w:szCs w:val="22"/>
        </w:rPr>
        <w:t xml:space="preserve">довые взаимоотношения с работниками по </w:t>
      </w:r>
      <w:r>
        <w:rPr>
          <w:rFonts w:eastAsia="Calibri"/>
          <w:bCs/>
          <w:sz w:val="22"/>
          <w:szCs w:val="22"/>
          <w:lang w:val="en-US"/>
        </w:rPr>
        <w:t xml:space="preserve">j</w:t>
      </w:r>
      <w:r>
        <w:rPr>
          <w:rFonts w:eastAsia="Calibri"/>
          <w:bCs/>
          <w:sz w:val="22"/>
          <w:szCs w:val="22"/>
        </w:rPr>
        <w:t xml:space="preserve">-й специальности, а также резюме с</w:t>
      </w:r>
      <w:r>
        <w:rPr>
          <w:rFonts w:eastAsia="Calibri"/>
          <w:bCs/>
          <w:sz w:val="22"/>
          <w:szCs w:val="22"/>
        </w:rPr>
        <w:t xml:space="preserve">о</w:t>
      </w:r>
      <w:r>
        <w:rPr>
          <w:rFonts w:eastAsia="Calibri"/>
          <w:bCs/>
          <w:sz w:val="22"/>
          <w:szCs w:val="22"/>
        </w:rPr>
        <w:t xml:space="preserve">трудников, документами об образовании количество работников по </w:t>
      </w:r>
      <w:r>
        <w:rPr>
          <w:rFonts w:eastAsia="Calibri"/>
          <w:bCs/>
          <w:sz w:val="22"/>
          <w:szCs w:val="22"/>
          <w:lang w:val="en-US"/>
        </w:rPr>
        <w:t xml:space="preserve">j</w:t>
      </w:r>
      <w:r>
        <w:rPr>
          <w:rFonts w:eastAsia="Calibri"/>
          <w:bCs/>
          <w:sz w:val="22"/>
          <w:szCs w:val="22"/>
        </w:rPr>
        <w:t xml:space="preserve">-й специал</w:t>
      </w:r>
      <w:r>
        <w:rPr>
          <w:rFonts w:eastAsia="Calibri"/>
          <w:bCs/>
          <w:sz w:val="22"/>
          <w:szCs w:val="22"/>
        </w:rPr>
        <w:t xml:space="preserve">ь</w:t>
      </w:r>
      <w:r>
        <w:rPr>
          <w:rFonts w:eastAsia="Calibri"/>
          <w:bCs/>
          <w:sz w:val="22"/>
          <w:szCs w:val="22"/>
        </w:rPr>
        <w:t xml:space="preserve">ности равно или превышает расчетное количество человек по </w:t>
      </w:r>
      <w:r>
        <w:rPr>
          <w:rFonts w:eastAsia="Calibri"/>
          <w:bCs/>
          <w:sz w:val="22"/>
          <w:szCs w:val="22"/>
          <w:lang w:val="en-US"/>
        </w:rPr>
        <w:t xml:space="preserve">j</w:t>
      </w:r>
      <w:r>
        <w:rPr>
          <w:rFonts w:eastAsia="Calibri"/>
          <w:bCs/>
          <w:sz w:val="22"/>
          <w:szCs w:val="22"/>
        </w:rPr>
        <w:t xml:space="preserve">-й специальности, промежуточный рейтинг заявки</w:t>
      </w:r>
      <w:r>
        <w:rPr>
          <w:rFonts w:eastAsia="Calibri"/>
          <w:bCs/>
          <w:sz w:val="22"/>
          <w:szCs w:val="22"/>
        </w:rPr>
        <w:t xml:space="preserve"> данного участника по </w:t>
      </w:r>
      <w:r>
        <w:rPr>
          <w:rFonts w:eastAsia="Calibri"/>
          <w:bCs/>
          <w:sz w:val="22"/>
          <w:szCs w:val="22"/>
          <w:lang w:val="en-US"/>
        </w:rPr>
        <w:t xml:space="preserve">j</w:t>
      </w:r>
      <w:r>
        <w:rPr>
          <w:rFonts w:eastAsia="Calibri"/>
          <w:bCs/>
          <w:sz w:val="22"/>
          <w:szCs w:val="22"/>
        </w:rPr>
        <w:t xml:space="preserve">-й специальности </w:t>
      </w:r>
      <w:r>
        <w:rPr>
          <w:rFonts w:eastAsia="Calibri"/>
          <w:bCs/>
          <w:sz w:val="22"/>
          <w:szCs w:val="22"/>
        </w:rPr>
        <w:t xml:space="preserve">равен</w:t>
      </w:r>
      <w:r>
        <w:rPr>
          <w:rFonts w:eastAsia="Calibri"/>
          <w:bCs/>
          <w:sz w:val="22"/>
          <w:szCs w:val="22"/>
        </w:rPr>
        <w:t xml:space="preserve"> 100 баллов</w:t>
      </w:r>
      <w:r>
        <w:rPr>
          <w:bCs/>
          <w:sz w:val="22"/>
          <w:szCs w:val="22"/>
        </w:rPr>
        <w:t xml:space="preserve">.</w:t>
      </w:r>
      <w:r>
        <w:rPr>
          <w:rFonts w:eastAsia="Calibri"/>
          <w:bCs/>
          <w:sz w:val="22"/>
          <w:szCs w:val="22"/>
        </w:rPr>
      </w:r>
    </w:p>
    <w:p>
      <w:pPr>
        <w:ind w:firstLine="709"/>
        <w:widowControl w:val="off"/>
      </w:pPr>
      <w:r/>
      <w:r/>
    </w:p>
    <w:p>
      <w:pPr>
        <w:contextualSpacing/>
        <w:ind w:firstLine="709"/>
        <w:rPr>
          <w:rFonts w:eastAsia="Calibri"/>
          <w:bCs/>
          <w:lang w:eastAsia="en-US"/>
        </w:rPr>
      </w:pPr>
      <w:r>
        <w:rPr>
          <w:rFonts w:eastAsia="Calibri"/>
          <w:bCs/>
          <w:lang w:eastAsia="en-US"/>
        </w:rPr>
        <w:t xml:space="preserve">Общая оценка по критерию «</w:t>
      </w:r>
      <w:r>
        <w:rPr>
          <w:rFonts w:eastAsia="Calibri"/>
          <w:b/>
        </w:rPr>
        <w:t xml:space="preserve">Наличие квалифицированных кадровых ресурсов</w:t>
      </w:r>
      <w:r>
        <w:rPr>
          <w:rFonts w:eastAsia="Calibri"/>
          <w:bCs/>
          <w:lang w:eastAsia="en-US"/>
        </w:rPr>
        <w:t xml:space="preserve">» рассчитывается по формуле:</w:t>
      </w:r>
      <w:r>
        <w:rPr>
          <w:rFonts w:eastAsia="Calibri"/>
          <w:bCs/>
          <w:lang w:eastAsia="en-US"/>
        </w:rPr>
      </w:r>
    </w:p>
    <w:p>
      <w:pPr>
        <w:contextualSpacing/>
        <w:ind w:firstLine="709"/>
        <w:spacing w:after="200" w:line="276" w:lineRule="auto"/>
        <w:rPr>
          <w:rFonts w:eastAsia="Calibri"/>
          <w:bCs/>
          <w:lang w:eastAsia="en-US"/>
        </w:rPr>
      </w:pPr>
      <w:r>
        <w:rPr>
          <w:rFonts w:eastAsia="Calibri"/>
          <w:bCs/>
          <w:lang w:eastAsia="en-US"/>
        </w:rPr>
      </w:r>
      <w:r>
        <w:rPr>
          <w:rFonts w:eastAsia="Calibri"/>
          <w:bCs/>
          <w:lang w:eastAsia="en-US"/>
        </w:rPr>
      </w:r>
    </w:p>
    <w:p>
      <w:pPr>
        <w:contextualSpacing/>
        <w:ind w:firstLine="709"/>
        <w:jc w:val="center"/>
        <w:spacing w:after="200" w:line="276" w:lineRule="auto"/>
        <w:rPr>
          <w:rFonts w:eastAsia="Calibri"/>
          <w:bCs/>
          <w:lang w:val="en-US" w:eastAsia="en-US"/>
        </w:rPr>
      </w:pPr>
      <w:r>
        <w:rPr>
          <w:rFonts w:eastAsia="Calibri"/>
          <w:bCs/>
          <w:lang w:val="en-US" w:eastAsia="en-US"/>
        </w:rPr>
        <w:t xml:space="preserve">R</w:t>
      </w:r>
      <w:r>
        <w:rPr>
          <w:rFonts w:eastAsia="Calibri"/>
          <w:bCs/>
          <w:vertAlign w:val="subscript"/>
          <w:lang w:val="en-US" w:eastAsia="en-US"/>
        </w:rPr>
        <w:t xml:space="preserve">ki</w:t>
      </w:r>
      <w:r>
        <w:rPr>
          <w:rFonts w:eastAsia="Calibri"/>
          <w:bCs/>
          <w:lang w:val="en-US" w:eastAsia="en-US"/>
        </w:rPr>
        <w:t xml:space="preserve">= (R</w:t>
      </w:r>
      <w:r>
        <w:rPr>
          <w:rFonts w:eastAsia="Calibri"/>
          <w:bCs/>
          <w:vertAlign w:val="subscript"/>
          <w:lang w:val="en-US" w:eastAsia="en-US"/>
        </w:rPr>
        <w:t xml:space="preserve">k1i</w:t>
      </w:r>
      <w:r>
        <w:rPr>
          <w:rFonts w:eastAsia="Calibri"/>
          <w:bCs/>
          <w:lang w:val="en-US" w:eastAsia="en-US"/>
        </w:rPr>
        <w:t xml:space="preserve">+R</w:t>
      </w:r>
      <w:r>
        <w:rPr>
          <w:rFonts w:eastAsia="Calibri"/>
          <w:bCs/>
          <w:vertAlign w:val="subscript"/>
          <w:lang w:val="en-US" w:eastAsia="en-US"/>
        </w:rPr>
        <w:t xml:space="preserve">k2i</w:t>
      </w:r>
      <w:r>
        <w:rPr>
          <w:rFonts w:eastAsia="Calibri"/>
          <w:bCs/>
          <w:lang w:val="en-US" w:eastAsia="en-US"/>
        </w:rPr>
        <w:t xml:space="preserve">+…+</w:t>
      </w:r>
      <w:r>
        <w:rPr>
          <w:rFonts w:eastAsia="Calibri"/>
          <w:bCs/>
          <w:lang w:val="en-US" w:eastAsia="en-US"/>
        </w:rPr>
        <w:t xml:space="preserve">R</w:t>
      </w:r>
      <w:r>
        <w:rPr>
          <w:rFonts w:eastAsia="Calibri"/>
          <w:bCs/>
          <w:vertAlign w:val="subscript"/>
          <w:lang w:val="en-US" w:eastAsia="en-US"/>
        </w:rPr>
        <w:t xml:space="preserve">kji</w:t>
      </w:r>
      <w:r>
        <w:rPr>
          <w:rFonts w:eastAsia="Calibri"/>
          <w:bCs/>
          <w:lang w:val="en-US" w:eastAsia="en-US"/>
        </w:rPr>
        <w:t xml:space="preserve">)/j</w:t>
      </w:r>
      <w:r>
        <w:rPr>
          <w:rFonts w:eastAsia="Calibri"/>
          <w:bCs/>
          <w:lang w:val="en-US" w:eastAsia="en-US"/>
        </w:rPr>
      </w:r>
    </w:p>
    <w:p>
      <w:pPr>
        <w:contextualSpacing/>
        <w:ind w:firstLine="709"/>
        <w:spacing w:after="200" w:line="300" w:lineRule="auto"/>
        <w:rPr>
          <w:rFonts w:eastAsia="Calibri"/>
          <w:bCs/>
          <w:i/>
          <w:lang w:val="en-US" w:eastAsia="en-US"/>
        </w:rPr>
      </w:pPr>
      <w:r>
        <w:rPr>
          <w:rFonts w:eastAsia="Calibri"/>
          <w:bCs/>
          <w:i/>
          <w:lang w:eastAsia="en-US"/>
        </w:rPr>
        <w:t xml:space="preserve">где</w:t>
      </w:r>
      <w:r>
        <w:rPr>
          <w:rFonts w:eastAsia="Calibri"/>
          <w:bCs/>
          <w:i/>
          <w:lang w:val="en-US" w:eastAsia="en-US"/>
        </w:rPr>
        <w:t xml:space="preserve">:</w:t>
      </w:r>
      <w:r>
        <w:rPr>
          <w:rFonts w:eastAsia="Calibri"/>
          <w:bCs/>
          <w:i/>
          <w:lang w:val="en-US" w:eastAsia="en-US"/>
        </w:rPr>
      </w:r>
    </w:p>
    <w:p>
      <w:pPr>
        <w:contextualSpacing/>
        <w:ind w:firstLine="709"/>
        <w:spacing w:after="200"/>
        <w:rPr>
          <w:rFonts w:eastAsia="Calibri"/>
          <w:bCs/>
          <w:i/>
          <w:iCs/>
          <w:color w:val="000000"/>
          <w:lang w:eastAsia="en-US"/>
        </w:rPr>
      </w:pPr>
      <w:r>
        <w:rPr>
          <w:rFonts w:eastAsia="Calibri"/>
          <w:bCs/>
          <w:i/>
          <w:lang w:val="en-US" w:eastAsia="en-US"/>
        </w:rPr>
        <w:t xml:space="preserve">R</w:t>
      </w:r>
      <w:r>
        <w:rPr>
          <w:rFonts w:eastAsia="Calibri"/>
          <w:bCs/>
          <w:i/>
          <w:vertAlign w:val="subscript"/>
          <w:lang w:val="en-US" w:eastAsia="en-US"/>
        </w:rPr>
        <w:t xml:space="preserve">ki</w:t>
      </w:r>
      <w:r>
        <w:rPr>
          <w:rFonts w:eastAsia="Calibri"/>
          <w:bCs/>
          <w:i/>
          <w:vertAlign w:val="subscript"/>
          <w:lang w:eastAsia="en-US"/>
        </w:rPr>
        <w:t xml:space="preserve"> </w:t>
      </w:r>
      <w:r>
        <w:rPr>
          <w:rFonts w:eastAsia="Calibri"/>
          <w:bCs/>
          <w:i/>
          <w:iCs/>
          <w:lang w:eastAsia="en-US"/>
        </w:rPr>
        <w:t xml:space="preserve">– </w:t>
      </w:r>
      <w:r>
        <w:rPr>
          <w:rFonts w:eastAsia="Calibri"/>
          <w:bCs/>
          <w:iCs/>
          <w:lang w:eastAsia="en-US"/>
        </w:rPr>
        <w:t xml:space="preserve">оценка</w:t>
      </w:r>
      <w:r>
        <w:rPr>
          <w:rFonts w:eastAsia="Calibri"/>
          <w:bCs/>
          <w:lang w:eastAsia="en-US"/>
        </w:rPr>
        <w:t xml:space="preserve"> заявки </w:t>
      </w:r>
      <w:r>
        <w:rPr>
          <w:rFonts w:eastAsia="Calibri"/>
          <w:bCs/>
          <w:lang w:val="en-US" w:eastAsia="en-US"/>
        </w:rPr>
        <w:t xml:space="preserve">i</w:t>
      </w:r>
      <w:r>
        <w:rPr>
          <w:rFonts w:eastAsia="Calibri"/>
          <w:bCs/>
          <w:lang w:eastAsia="en-US"/>
        </w:rPr>
        <w:t xml:space="preserve">-го участника по подкритерию «</w:t>
      </w:r>
      <w:r>
        <w:rPr>
          <w:rFonts w:eastAsia="Calibri"/>
        </w:rPr>
        <w:t xml:space="preserve">Наличие квалифицированных кадровых ресурсов</w:t>
      </w:r>
      <w:r>
        <w:rPr>
          <w:rFonts w:eastAsia="Calibri"/>
          <w:bCs/>
          <w:lang w:eastAsia="en-US"/>
        </w:rPr>
        <w:t xml:space="preserve">»</w:t>
      </w:r>
      <w:r>
        <w:rPr>
          <w:rFonts w:eastAsia="Calibri"/>
          <w:bCs/>
          <w:color w:val="000000"/>
          <w:lang w:eastAsia="en-US"/>
        </w:rPr>
        <w:t xml:space="preserve">;</w:t>
      </w:r>
      <w:r>
        <w:rPr>
          <w:rFonts w:eastAsia="Calibri"/>
          <w:bCs/>
          <w:i/>
          <w:iCs/>
          <w:color w:val="000000"/>
          <w:lang w:eastAsia="en-US"/>
        </w:rPr>
      </w:r>
    </w:p>
    <w:p>
      <w:pPr>
        <w:contextualSpacing/>
        <w:ind w:firstLine="709"/>
        <w:spacing w:after="200"/>
        <w:rPr>
          <w:rFonts w:eastAsia="Calibri"/>
          <w:bCs/>
          <w:lang w:eastAsia="en-US"/>
        </w:rPr>
      </w:pPr>
      <w:r>
        <w:rPr>
          <w:rFonts w:eastAsia="Calibri"/>
          <w:bCs/>
          <w:lang w:val="en-US" w:eastAsia="en-US"/>
        </w:rPr>
        <w:t xml:space="preserve">R</w:t>
      </w:r>
      <w:r>
        <w:rPr>
          <w:rFonts w:eastAsia="Calibri"/>
          <w:bCs/>
          <w:vertAlign w:val="subscript"/>
          <w:lang w:val="en-US" w:eastAsia="en-US"/>
        </w:rPr>
        <w:t xml:space="preserve">k</w:t>
      </w:r>
      <w:r>
        <w:rPr>
          <w:rFonts w:eastAsia="Calibri"/>
          <w:bCs/>
          <w:vertAlign w:val="subscript"/>
          <w:lang w:eastAsia="en-US"/>
        </w:rPr>
        <w:t xml:space="preserve">1</w:t>
      </w:r>
      <w:r>
        <w:rPr>
          <w:rFonts w:eastAsia="Calibri"/>
          <w:bCs/>
          <w:vertAlign w:val="subscript"/>
          <w:lang w:val="en-US" w:eastAsia="en-US"/>
        </w:rPr>
        <w:t xml:space="preserve">i</w:t>
      </w:r>
      <w:r>
        <w:rPr>
          <w:rFonts w:eastAsia="Calibri"/>
          <w:bCs/>
          <w:lang w:eastAsia="en-US"/>
        </w:rPr>
        <w:t xml:space="preserve">+</w:t>
      </w:r>
      <w:r>
        <w:rPr>
          <w:rFonts w:eastAsia="Calibri"/>
          <w:bCs/>
          <w:lang w:val="en-US" w:eastAsia="en-US"/>
        </w:rPr>
        <w:t xml:space="preserve">R</w:t>
      </w:r>
      <w:r>
        <w:rPr>
          <w:rFonts w:eastAsia="Calibri"/>
          <w:bCs/>
          <w:vertAlign w:val="subscript"/>
          <w:lang w:val="en-US" w:eastAsia="en-US"/>
        </w:rPr>
        <w:t xml:space="preserve">k</w:t>
      </w:r>
      <w:r>
        <w:rPr>
          <w:rFonts w:eastAsia="Calibri"/>
          <w:bCs/>
          <w:vertAlign w:val="subscript"/>
          <w:lang w:eastAsia="en-US"/>
        </w:rPr>
        <w:t xml:space="preserve">2</w:t>
      </w:r>
      <w:r>
        <w:rPr>
          <w:rFonts w:eastAsia="Calibri"/>
          <w:bCs/>
          <w:vertAlign w:val="subscript"/>
          <w:lang w:val="en-US" w:eastAsia="en-US"/>
        </w:rPr>
        <w:t xml:space="preserve">i</w:t>
      </w:r>
      <w:r>
        <w:rPr>
          <w:rFonts w:eastAsia="Calibri"/>
          <w:bCs/>
          <w:lang w:eastAsia="en-US"/>
        </w:rPr>
        <w:t xml:space="preserve">+…+</w:t>
      </w:r>
      <w:r>
        <w:rPr>
          <w:rFonts w:eastAsia="Calibri"/>
          <w:bCs/>
          <w:lang w:val="en-US" w:eastAsia="en-US"/>
        </w:rPr>
        <w:t xml:space="preserve">R</w:t>
      </w:r>
      <w:r>
        <w:rPr>
          <w:rFonts w:eastAsia="Calibri"/>
          <w:bCs/>
          <w:vertAlign w:val="subscript"/>
          <w:lang w:val="en-US" w:eastAsia="en-US"/>
        </w:rPr>
        <w:t xml:space="preserve">kji</w:t>
      </w:r>
      <w:r>
        <w:rPr>
          <w:rFonts w:eastAsia="Calibri"/>
          <w:bCs/>
          <w:lang w:eastAsia="en-US"/>
        </w:rPr>
        <w:t xml:space="preserve"> – сумма оценок заявки </w:t>
      </w:r>
      <w:r>
        <w:rPr>
          <w:rFonts w:eastAsia="Calibri"/>
          <w:bCs/>
          <w:lang w:val="en-US" w:eastAsia="en-US"/>
        </w:rPr>
        <w:t xml:space="preserve">i</w:t>
      </w:r>
      <w:r>
        <w:rPr>
          <w:rFonts w:eastAsia="Calibri"/>
          <w:bCs/>
          <w:lang w:eastAsia="en-US"/>
        </w:rPr>
        <w:t xml:space="preserve">-го участника, полученных по каждой специальности; </w:t>
      </w:r>
      <w:r>
        <w:rPr>
          <w:rFonts w:eastAsia="Calibri"/>
          <w:bCs/>
          <w:lang w:eastAsia="en-US"/>
        </w:rPr>
      </w:r>
    </w:p>
    <w:p>
      <w:pPr>
        <w:ind w:firstLine="709"/>
        <w:spacing w:after="120"/>
        <w:shd w:val="clear" w:color="auto" w:fill="ffffff"/>
        <w:rPr>
          <w:bCs/>
          <w:color w:val="000000"/>
        </w:rPr>
      </w:pPr>
      <w:r>
        <w:rPr>
          <w:rFonts w:eastAsia="Calibri"/>
          <w:bCs/>
          <w:lang w:val="en-US" w:eastAsia="en-US"/>
        </w:rPr>
        <w:t xml:space="preserve">j</w:t>
      </w:r>
      <w:r>
        <w:rPr>
          <w:rFonts w:eastAsia="Calibri"/>
          <w:bCs/>
          <w:lang w:eastAsia="en-US"/>
        </w:rPr>
        <w:t xml:space="preserve"> – </w:t>
      </w:r>
      <w:r>
        <w:rPr>
          <w:rFonts w:eastAsia="Calibri"/>
          <w:bCs/>
          <w:lang w:eastAsia="en-US"/>
        </w:rPr>
        <w:t xml:space="preserve">суммарное</w:t>
      </w:r>
      <w:r>
        <w:rPr>
          <w:rFonts w:eastAsia="Calibri"/>
          <w:bCs/>
          <w:lang w:eastAsia="en-US"/>
        </w:rPr>
        <w:t xml:space="preserve"> количество специальностей, указанное в таблице 1.</w:t>
      </w:r>
      <w:r>
        <w:rPr>
          <w:bCs/>
          <w:color w:val="000000"/>
        </w:rPr>
      </w:r>
    </w:p>
    <w:p>
      <w:pPr>
        <w:ind w:firstLine="709"/>
        <w:spacing w:after="0"/>
        <w:widowControl w:val="off"/>
        <w:tabs>
          <w:tab w:val="left" w:pos="0" w:leader="none"/>
        </w:tabs>
        <w:rPr>
          <w:rFonts w:eastAsia="Calibri"/>
        </w:rPr>
      </w:pPr>
      <w:r>
        <w:rPr>
          <w:rFonts w:eastAsia="Calibri"/>
          <w:bCs/>
        </w:rPr>
        <w:t xml:space="preserve">В случае отсутствия в составе заявки Участника справки о привлекаемых кадровых ресурсах (форма 6) и/или </w:t>
      </w:r>
      <w:r>
        <w:rPr>
          <w:bCs/>
          <w:color w:val="000000"/>
        </w:rPr>
        <w:t xml:space="preserve">страниц трудовых книжек и/или выписок из трудовых книжек и/или копий гражданско-правовых договоров и/или иных документов в соответствии с законодательством РФ, подтверждающие трудовые взаимоотношения</w:t>
      </w:r>
      <w:r>
        <w:rPr>
          <w:rFonts w:eastAsia="Calibri"/>
          <w:bCs/>
        </w:rPr>
        <w:t xml:space="preserve">, и/или резюме сотрудников по форме 6.1, и/или </w:t>
      </w:r>
      <w:r>
        <w:rPr>
          <w:rFonts w:eastAsia="Calibri"/>
          <w:bCs/>
          <w:color w:val="000000"/>
          <w:lang w:eastAsia="en-US"/>
        </w:rPr>
        <w:t xml:space="preserve">копий дипломов государственного образца/копий сертификатов/удостоверений в соответствии</w:t>
      </w:r>
      <w:r>
        <w:rPr>
          <w:rFonts w:eastAsia="Calibri"/>
          <w:bCs/>
          <w:color w:val="000000"/>
          <w:lang w:eastAsia="en-US"/>
        </w:rPr>
        <w:t xml:space="preserve"> с таблицей 1,</w:t>
      </w:r>
      <w:r>
        <w:rPr>
          <w:rFonts w:eastAsia="Calibri"/>
          <w:bCs/>
        </w:rPr>
        <w:t xml:space="preserve"> участнику засчитывается по соотве</w:t>
      </w:r>
      <w:r>
        <w:rPr>
          <w:rFonts w:eastAsia="Calibri"/>
          <w:bCs/>
        </w:rPr>
        <w:t xml:space="preserve">т</w:t>
      </w:r>
      <w:r>
        <w:rPr>
          <w:rFonts w:eastAsia="Calibri"/>
          <w:bCs/>
        </w:rPr>
        <w:t xml:space="preserve">ствующей специальности минимальная промежуточная оценка - 0 баллов</w:t>
      </w:r>
      <w:r>
        <w:rPr>
          <w:rFonts w:eastAsia="Calibri"/>
        </w:rPr>
        <w:t xml:space="preserve">.</w:t>
      </w:r>
      <w:r>
        <w:rPr>
          <w:rFonts w:eastAsia="Calibri"/>
        </w:rPr>
      </w:r>
    </w:p>
    <w:p>
      <w:pPr>
        <w:ind w:right="159" w:firstLine="567"/>
        <w:spacing w:after="0"/>
        <w:shd w:val="clear" w:color="auto" w:fill="ffffff"/>
        <w:tabs>
          <w:tab w:val="left" w:pos="1418" w:leader="none"/>
          <w:tab w:val="left" w:pos="1700" w:leader="none"/>
        </w:tabs>
        <w:rPr>
          <w:rFonts w:eastAsia="Calibri"/>
          <w:bCs/>
        </w:rPr>
      </w:pPr>
      <w:r>
        <w:rPr>
          <w:rFonts w:eastAsia="Calibri"/>
          <w:lang w:eastAsia="en-US"/>
        </w:rPr>
        <w:t xml:space="preserve">Максимальное количество баллов по критерию «</w:t>
      </w:r>
      <w:r>
        <w:rPr>
          <w:rFonts w:eastAsia="Calibri"/>
          <w:bCs/>
        </w:rPr>
        <w:t xml:space="preserve">Наличие квалифицированных кадровых ресурсов» равно 100.</w:t>
      </w:r>
      <w:r>
        <w:rPr>
          <w:rFonts w:eastAsia="Calibri"/>
          <w:bCs/>
        </w:rPr>
      </w:r>
    </w:p>
    <w:p>
      <w:pPr>
        <w:pStyle w:val="1336"/>
        <w:ind w:firstLine="709"/>
        <w:jc w:val="both"/>
        <w:spacing w:after="120"/>
        <w:rPr>
          <w:rFonts w:ascii="Times New Roman" w:hAnsi="Times New Roman" w:eastAsia="Calibri" w:cs="Times New Roman"/>
          <w:bCs/>
          <w:sz w:val="24"/>
          <w:szCs w:val="24"/>
        </w:rPr>
      </w:pPr>
      <w:r>
        <w:rPr>
          <w:rFonts w:ascii="Times New Roman" w:hAnsi="Times New Roman" w:eastAsia="Calibri" w:cs="Times New Roman"/>
          <w:bCs/>
          <w:sz w:val="24"/>
          <w:szCs w:val="24"/>
        </w:rPr>
        <w:t xml:space="preserve">Отсутствие указанных документов не является основанием для отклонения Заявки участника.</w:t>
      </w:r>
      <w:r>
        <w:rPr>
          <w:rFonts w:ascii="Times New Roman" w:hAnsi="Times New Roman" w:eastAsia="Calibri" w:cs="Times New Roman"/>
          <w:bCs/>
          <w:sz w:val="24"/>
          <w:szCs w:val="24"/>
        </w:rPr>
      </w:r>
    </w:p>
    <w:p>
      <w:pPr>
        <w:pStyle w:val="1352"/>
        <w:numPr>
          <w:ilvl w:val="0"/>
          <w:numId w:val="11"/>
        </w:numPr>
        <w:contextualSpacing/>
        <w:ind w:left="0" w:firstLine="709"/>
        <w:jc w:val="both"/>
        <w:keepLines/>
        <w:spacing w:before="120" w:after="120"/>
      </w:pPr>
      <w:r>
        <w:t xml:space="preserve">По критерию «</w:t>
      </w:r>
      <w:r>
        <w:rPr>
          <w:b/>
          <w:bCs/>
        </w:rPr>
        <w:t xml:space="preserve">Наличие полномочий от производителей продукции</w:t>
      </w:r>
      <w:r>
        <w:t xml:space="preserve">» </w:t>
      </w:r>
      <w:r>
        <w:rPr>
          <w:b/>
          <w:bCs/>
        </w:rPr>
        <w:t xml:space="preserve">(</w:t>
      </w:r>
      <w:r>
        <w:rPr>
          <w:b/>
          <w:bCs/>
          <w:lang w:val="en-US"/>
        </w:rPr>
        <w:t xml:space="preserve">R</w:t>
      </w:r>
      <w:r>
        <w:rPr>
          <w:b/>
          <w:bCs/>
          <w:vertAlign w:val="subscript"/>
          <w:lang w:val="en-US"/>
        </w:rPr>
        <w:t xml:space="preserve">pi</w:t>
      </w:r>
      <w:r>
        <w:rPr>
          <w:b/>
          <w:bCs/>
        </w:rPr>
        <w:t xml:space="preserve">)</w:t>
      </w:r>
      <w:r>
        <w:t xml:space="preserve"> оценка рассчитывается по баллам, указанным в таблице</w:t>
      </w:r>
      <w:r>
        <w:t xml:space="preserve"> 2</w:t>
      </w:r>
      <w:r>
        <w:t xml:space="preserve">:</w:t>
      </w:r>
      <w:r/>
    </w:p>
    <w:p>
      <w:pPr>
        <w:pStyle w:val="1352"/>
        <w:contextualSpacing/>
        <w:ind w:left="709"/>
        <w:jc w:val="right"/>
        <w:keepLines/>
        <w:spacing w:before="120" w:after="120"/>
      </w:pPr>
      <w:r>
        <w:t xml:space="preserve">Таблица 2</w:t>
      </w:r>
      <w:r/>
    </w:p>
    <w:tbl>
      <w:tblPr>
        <w:tblpPr w:horzAnchor="text" w:tblpXSpec="center" w:vertAnchor="text" w:tblpY="1" w:leftFromText="180" w:topFromText="0" w:rightFromText="180" w:bottomFromText="160"/>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40" w:type="dxa"/>
          <w:right w:w="40" w:type="dxa"/>
        </w:tblCellMar>
        <w:tblLook w:val="04A0" w:firstRow="1" w:lastRow="0" w:firstColumn="1" w:lastColumn="0" w:noHBand="0" w:noVBand="1"/>
      </w:tblPr>
      <w:tblGrid>
        <w:gridCol w:w="711"/>
        <w:gridCol w:w="7719"/>
        <w:gridCol w:w="1005"/>
      </w:tblGrid>
      <w:tr>
        <w:tblPrEx/>
        <w:trPr>
          <w:tblHeader/>
        </w:trPr>
        <w:tc>
          <w:tcPr>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rPr>
                <w:bCs/>
              </w:rPr>
            </w:pPr>
            <w:r>
              <w:t xml:space="preserve">№ </w:t>
            </w:r>
            <w:r>
              <w:t xml:space="preserve">п.п</w:t>
            </w:r>
            <w:r>
              <w:t xml:space="preserve">.</w:t>
            </w:r>
            <w:r>
              <w:rPr>
                <w:bCs/>
              </w:rPr>
            </w:r>
          </w:p>
        </w:tc>
        <w:tc>
          <w:tcPr>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jc w:val="center"/>
              <w:spacing w:line="252" w:lineRule="auto"/>
              <w:widowControl w:val="off"/>
              <w:rPr>
                <w:bCs/>
              </w:rPr>
            </w:pPr>
            <w:r>
              <w:t xml:space="preserve">Партнёрский статус участника</w:t>
            </w:r>
            <w:r>
              <w:rPr>
                <w:bCs/>
              </w:rPr>
            </w:r>
          </w:p>
        </w:tc>
        <w:tc>
          <w:tcPr>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bCs/>
              </w:rPr>
            </w:pPr>
            <w:r>
              <w:t xml:space="preserve">Баллов</w:t>
            </w:r>
            <w:r>
              <w:rPr>
                <w:bCs/>
              </w:rPr>
            </w:r>
          </w:p>
        </w:tc>
      </w:tr>
      <w:tr>
        <w:tblPrEx/>
        <w:trPr/>
        <w:tc>
          <w:tcPr>
            <w:shd w:val="clear" w:color="auto" w:fill="ffffff"/>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rPr>
                <w:bCs/>
              </w:rPr>
            </w:pPr>
            <w:r>
              <w:t xml:space="preserve">1</w:t>
            </w:r>
            <w:r>
              <w:rPr>
                <w:bCs/>
              </w:rPr>
            </w:r>
          </w:p>
        </w:tc>
        <w:tc>
          <w:tcPr>
            <w:shd w:val="clear" w:color="auto" w:fill="ffffff"/>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spacing w:line="252" w:lineRule="auto"/>
              <w:widowControl w:val="off"/>
              <w:rPr>
                <w:bCs/>
              </w:rPr>
            </w:pPr>
            <w:r>
              <w:t xml:space="preserve">Партнерский сертификат </w:t>
            </w:r>
            <w:r>
              <w:rPr>
                <w:color w:val="000000"/>
                <w:lang w:val="en-US"/>
              </w:rPr>
              <w:t xml:space="preserve">BPMSoft</w:t>
            </w:r>
            <w:r>
              <w:t xml:space="preserve"> «Интегратор уровня 1» </w:t>
            </w:r>
            <w:r>
              <w:rPr>
                <w:bCs/>
              </w:rPr>
            </w:r>
          </w:p>
        </w:tc>
        <w:tc>
          <w:tcPr>
            <w:shd w:val="clear" w:color="auto" w:fill="ffffff"/>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bCs/>
              </w:rPr>
            </w:pPr>
            <w:r>
              <w:t xml:space="preserve">20</w:t>
            </w:r>
            <w:r>
              <w:rPr>
                <w:bCs/>
              </w:rPr>
            </w:r>
          </w:p>
        </w:tc>
      </w:tr>
      <w:tr>
        <w:tblPrEx/>
        <w:trPr/>
        <w:tc>
          <w:tcPr>
            <w:shd w:val="clear" w:color="auto" w:fill="ffffff"/>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pPr>
            <w:r>
              <w:t xml:space="preserve">2</w:t>
            </w:r>
            <w:r/>
          </w:p>
        </w:tc>
        <w:tc>
          <w:tcPr>
            <w:shd w:val="clear" w:color="auto" w:fill="ffffff"/>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spacing w:line="252" w:lineRule="auto"/>
              <w:widowControl w:val="off"/>
            </w:pPr>
            <w:r>
              <w:t xml:space="preserve">Партнерский сертификат </w:t>
            </w:r>
            <w:r>
              <w:rPr>
                <w:color w:val="000000"/>
                <w:lang w:val="en-US"/>
              </w:rPr>
              <w:t xml:space="preserve">BPMSoft</w:t>
            </w:r>
            <w:r>
              <w:t xml:space="preserve"> «Интегратор уровня 2» </w:t>
            </w:r>
            <w:r/>
          </w:p>
        </w:tc>
        <w:tc>
          <w:tcPr>
            <w:shd w:val="clear" w:color="auto" w:fill="ffffff"/>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lang w:eastAsia="en-US"/>
              </w:rPr>
            </w:pPr>
            <w:r>
              <w:t xml:space="preserve">40</w:t>
            </w:r>
            <w:r>
              <w:rPr>
                <w:lang w:eastAsia="en-US"/>
              </w:rPr>
            </w:r>
          </w:p>
        </w:tc>
      </w:tr>
      <w:tr>
        <w:tblPrEx/>
        <w:trPr/>
        <w:tc>
          <w:tcPr>
            <w:shd w:val="clear" w:color="auto" w:fill="ffffff"/>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pPr>
            <w:r>
              <w:t xml:space="preserve">3</w:t>
            </w:r>
            <w:r/>
          </w:p>
        </w:tc>
        <w:tc>
          <w:tcPr>
            <w:shd w:val="clear" w:color="auto" w:fill="ffffff"/>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spacing w:line="252" w:lineRule="auto"/>
              <w:widowControl w:val="off"/>
            </w:pPr>
            <w:r>
              <w:t xml:space="preserve">Партнерский сертификат </w:t>
            </w:r>
            <w:r>
              <w:rPr>
                <w:color w:val="000000"/>
                <w:lang w:val="en-US"/>
              </w:rPr>
              <w:t xml:space="preserve">BPMSoft</w:t>
            </w:r>
            <w:r>
              <w:t xml:space="preserve"> «Интегратор уровня 3»</w:t>
            </w:r>
            <w:r/>
          </w:p>
        </w:tc>
        <w:tc>
          <w:tcPr>
            <w:shd w:val="clear" w:color="auto" w:fill="ffffff"/>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lang w:eastAsia="en-US"/>
              </w:rPr>
            </w:pPr>
            <w:r>
              <w:t xml:space="preserve">60</w:t>
            </w:r>
            <w:r>
              <w:rPr>
                <w:lang w:eastAsia="en-US"/>
              </w:rPr>
            </w:r>
          </w:p>
        </w:tc>
      </w:tr>
      <w:tr>
        <w:tblPrEx/>
        <w:trPr/>
        <w:tc>
          <w:tcPr>
            <w:shd w:val="clear" w:color="auto" w:fill="ffffff"/>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pPr>
            <w:r>
              <w:t xml:space="preserve">4</w:t>
            </w:r>
            <w:r/>
          </w:p>
        </w:tc>
        <w:tc>
          <w:tcPr>
            <w:shd w:val="clear" w:color="auto" w:fill="ffffff"/>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spacing w:line="252" w:lineRule="auto"/>
              <w:widowControl w:val="off"/>
            </w:pPr>
            <w:r>
              <w:t xml:space="preserve">Партнерский сертификат </w:t>
            </w:r>
            <w:r>
              <w:rPr>
                <w:color w:val="000000"/>
                <w:lang w:val="en-US"/>
              </w:rPr>
              <w:t xml:space="preserve">BPMSoft</w:t>
            </w:r>
            <w:r>
              <w:t xml:space="preserve"> «Интегратор уровня 4» </w:t>
            </w:r>
            <w:r/>
          </w:p>
        </w:tc>
        <w:tc>
          <w:tcPr>
            <w:shd w:val="clear" w:color="auto" w:fill="ffffff"/>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lang w:eastAsia="en-US"/>
              </w:rPr>
            </w:pPr>
            <w:r>
              <w:t xml:space="preserve">80</w:t>
            </w:r>
            <w:r>
              <w:rPr>
                <w:lang w:eastAsia="en-US"/>
              </w:rPr>
            </w:r>
          </w:p>
        </w:tc>
      </w:tr>
      <w:tr>
        <w:tblPrEx/>
        <w:trPr/>
        <w:tc>
          <w:tcPr>
            <w:shd w:val="clear" w:color="auto" w:fill="ffffff"/>
            <w:tcBorders>
              <w:top w:val="single" w:color="000000" w:sz="6" w:space="0"/>
              <w:left w:val="single" w:color="000000" w:sz="6" w:space="0"/>
              <w:bottom w:val="single" w:color="000000" w:sz="6" w:space="0"/>
              <w:right w:val="single" w:color="000000" w:sz="6" w:space="0"/>
            </w:tcBorders>
            <w:tcW w:w="711" w:type="dxa"/>
            <w:vAlign w:val="center"/>
            <w:textDirection w:val="lrTb"/>
            <w:noWrap w:val="false"/>
          </w:tcPr>
          <w:p>
            <w:pPr>
              <w:jc w:val="center"/>
              <w:spacing w:line="252" w:lineRule="auto"/>
              <w:widowControl w:val="off"/>
            </w:pPr>
            <w:r>
              <w:t xml:space="preserve">5</w:t>
            </w:r>
            <w:r/>
          </w:p>
        </w:tc>
        <w:tc>
          <w:tcPr>
            <w:shd w:val="clear" w:color="auto" w:fill="ffffff"/>
            <w:tcBorders>
              <w:top w:val="single" w:color="000000" w:sz="6" w:space="0"/>
              <w:left w:val="single" w:color="000000" w:sz="6" w:space="0"/>
              <w:bottom w:val="single" w:color="000000" w:sz="6" w:space="0"/>
              <w:right w:val="single" w:color="000000" w:sz="6" w:space="0"/>
            </w:tcBorders>
            <w:tcW w:w="7719" w:type="dxa"/>
            <w:vAlign w:val="center"/>
            <w:textDirection w:val="lrTb"/>
            <w:noWrap w:val="false"/>
          </w:tcPr>
          <w:p>
            <w:pPr>
              <w:spacing w:line="252" w:lineRule="auto"/>
              <w:widowControl w:val="off"/>
            </w:pPr>
            <w:r>
              <w:t xml:space="preserve">Партнерский сертификат </w:t>
            </w:r>
            <w:r>
              <w:rPr>
                <w:color w:val="000000"/>
                <w:lang w:val="en-US"/>
              </w:rPr>
              <w:t xml:space="preserve">BPMSoft</w:t>
            </w:r>
            <w:r>
              <w:t xml:space="preserve"> «Интегратор уровня 5»</w:t>
            </w:r>
            <w:r/>
          </w:p>
        </w:tc>
        <w:tc>
          <w:tcPr>
            <w:shd w:val="clear" w:color="auto" w:fill="ffffff"/>
            <w:tcBorders>
              <w:top w:val="single" w:color="000000" w:sz="6" w:space="0"/>
              <w:left w:val="single" w:color="000000" w:sz="6" w:space="0"/>
              <w:bottom w:val="single" w:color="000000" w:sz="6" w:space="0"/>
              <w:right w:val="single" w:color="000000" w:sz="6" w:space="0"/>
            </w:tcBorders>
            <w:tcW w:w="1005" w:type="dxa"/>
            <w:vAlign w:val="center"/>
            <w:textDirection w:val="lrTb"/>
            <w:noWrap w:val="false"/>
          </w:tcPr>
          <w:p>
            <w:pPr>
              <w:jc w:val="center"/>
              <w:spacing w:line="252" w:lineRule="auto"/>
              <w:widowControl w:val="off"/>
              <w:rPr>
                <w:lang w:eastAsia="en-US"/>
              </w:rPr>
            </w:pPr>
            <w:r>
              <w:t xml:space="preserve">100</w:t>
            </w:r>
            <w:r>
              <w:rPr>
                <w:lang w:eastAsia="en-US"/>
              </w:rPr>
            </w:r>
          </w:p>
        </w:tc>
      </w:tr>
    </w:tbl>
    <w:p>
      <w:pPr>
        <w:contextualSpacing/>
        <w:ind w:right="1" w:firstLine="567"/>
        <w:shd w:val="clear" w:color="auto" w:fill="ffffff"/>
      </w:pPr>
      <w:r>
        <w:rPr>
          <w:color w:val="000000"/>
        </w:rPr>
        <w:t xml:space="preserve">Оценка производится на основании наличия официальных, действующих статусов партнеров </w:t>
      </w:r>
      <w:r>
        <w:rPr>
          <w:color w:val="000000"/>
          <w:lang w:val="en-US"/>
        </w:rPr>
        <w:t xml:space="preserve">BPMSoft</w:t>
      </w:r>
      <w:r>
        <w:rPr>
          <w:color w:val="000000"/>
        </w:rPr>
        <w:t xml:space="preserve">.</w:t>
      </w:r>
      <w:r>
        <w:t xml:space="preserve"> Наличие у участника действующего статуса </w:t>
      </w:r>
      <w:r>
        <w:rPr>
          <w:color w:val="000000"/>
        </w:rPr>
        <w:t xml:space="preserve">партнера </w:t>
      </w:r>
      <w:r>
        <w:rPr>
          <w:color w:val="000000"/>
          <w:lang w:val="en-US"/>
        </w:rPr>
        <w:t xml:space="preserve">BPMSoft</w:t>
      </w:r>
      <w:r>
        <w:t xml:space="preserve"> оценивается на основании копии действующего сертификата подтверждающего соответствующий статус участника.</w:t>
      </w:r>
      <w:r/>
    </w:p>
    <w:p>
      <w:pPr>
        <w:contextualSpacing/>
        <w:ind w:right="1" w:firstLine="567"/>
        <w:shd w:val="clear" w:color="auto" w:fill="ffffff"/>
      </w:pPr>
      <w:r>
        <w:t xml:space="preserve">За предоставленный сертификат участник получает баллы в соответствии с приведенной выше таблицей.</w:t>
      </w:r>
      <w:r/>
    </w:p>
    <w:p>
      <w:pPr>
        <w:ind w:right="159" w:firstLine="567"/>
        <w:spacing w:after="0"/>
        <w:shd w:val="clear" w:color="auto" w:fill="ffffff"/>
        <w:tabs>
          <w:tab w:val="left" w:pos="1418" w:leader="none"/>
          <w:tab w:val="num" w:pos="1700" w:leader="none"/>
        </w:tabs>
        <w:rPr>
          <w:rFonts w:eastAsiaTheme="minorHAnsi"/>
          <w:lang w:eastAsia="en-US"/>
        </w:rPr>
      </w:pPr>
      <w:r>
        <w:t xml:space="preserve">Максимальное количество баллов по критерию «Наличие полномочий от производителей продукции» равно 100.</w:t>
      </w:r>
      <w:r>
        <w:rPr>
          <w:rFonts w:eastAsiaTheme="minorHAnsi"/>
          <w:lang w:eastAsia="en-US"/>
        </w:rPr>
      </w:r>
    </w:p>
    <w:p>
      <w:pPr>
        <w:ind w:right="159" w:firstLine="567"/>
        <w:spacing w:after="0"/>
        <w:shd w:val="clear" w:color="auto" w:fill="ffffff"/>
        <w:tabs>
          <w:tab w:val="left" w:pos="1418" w:leader="none"/>
          <w:tab w:val="num" w:pos="1700" w:leader="none"/>
        </w:tabs>
        <w:rPr>
          <w:rFonts w:eastAsiaTheme="minorHAnsi"/>
          <w:lang w:eastAsia="en-US"/>
        </w:rPr>
      </w:pPr>
      <w:r>
        <w:rPr>
          <w:rFonts w:eastAsia="Calibri"/>
        </w:rPr>
        <w:t xml:space="preserve">В случае отсутствия в составе заявки участника копий сертификатов от компании </w:t>
      </w:r>
      <w:r>
        <w:rPr>
          <w:rFonts w:eastAsia="Calibri"/>
          <w:lang w:val="en-US"/>
        </w:rPr>
        <w:t xml:space="preserve">BPMSoft</w:t>
      </w:r>
      <w:r>
        <w:rPr>
          <w:rFonts w:eastAsia="Calibri"/>
          <w:bCs/>
        </w:rPr>
        <w:t xml:space="preserve">, Комиссия присуждает по данному критерию минимальную промежуточную </w:t>
      </w:r>
      <w:r>
        <w:rPr>
          <w:rFonts w:eastAsia="Calibri"/>
          <w:bCs/>
        </w:rPr>
        <w:t xml:space="preserve">оценку (0 баллов). Отсутствие указанных документов не является основанием для отклонения Заявки участника</w:t>
      </w:r>
      <w:r>
        <w:rPr>
          <w:rFonts w:eastAsia="Calibri"/>
        </w:rPr>
        <w:t xml:space="preserve">.</w:t>
      </w:r>
      <w:r>
        <w:rPr>
          <w:rFonts w:eastAsiaTheme="minorHAnsi"/>
          <w:lang w:eastAsia="en-US"/>
        </w:rPr>
      </w:r>
    </w:p>
    <w:p>
      <w:pPr>
        <w:contextualSpacing/>
        <w:ind w:firstLine="709"/>
        <w:spacing w:after="0" w:line="276" w:lineRule="auto"/>
        <w:rPr>
          <w:rFonts w:eastAsia="Calibri"/>
          <w:bCs/>
        </w:rPr>
        <w:sectPr>
          <w:footerReference w:type="default" r:id="rId12"/>
          <w:footerReference w:type="even" r:id="rId13"/>
          <w:footnotePr/>
          <w:endnotePr/>
          <w:type w:val="nextPage"/>
          <w:pgSz w:w="11906" w:h="16838" w:orient="portrait"/>
          <w:pgMar w:top="1134" w:right="850" w:bottom="1134" w:left="1701" w:header="0" w:footer="170" w:gutter="0"/>
          <w:cols w:num="1" w:sep="0" w:space="720" w:equalWidth="1"/>
          <w:docGrid w:linePitch="360"/>
        </w:sectPr>
      </w:pPr>
      <w:r>
        <w:rPr>
          <w:rFonts w:eastAsia="Calibri"/>
          <w:bCs/>
        </w:rPr>
      </w:r>
      <w:r>
        <w:rPr>
          <w:rFonts w:eastAsia="Calibri"/>
          <w:bCs/>
        </w:rPr>
      </w:r>
    </w:p>
    <w:p>
      <w:pPr>
        <w:pStyle w:val="1116"/>
        <w:numPr>
          <w:ilvl w:val="0"/>
          <w:numId w:val="6"/>
        </w:numPr>
        <w:ind w:left="0" w:firstLine="567"/>
        <w:spacing w:before="0" w:after="0"/>
        <w:rPr>
          <w:rStyle w:val="1206"/>
          <w:b/>
          <w:bCs/>
          <w:sz w:val="24"/>
          <w:szCs w:val="24"/>
        </w:rPr>
      </w:pPr>
      <w:r/>
      <w:bookmarkStart w:id="752" w:name="_РАЗДЕЛ_I_4_ОБРАЗЦЫ_ФОРМ_И_ДОКУМЕНТО"/>
      <w:r/>
      <w:bookmarkStart w:id="753" w:name="_Ref119427310"/>
      <w:r/>
      <w:bookmarkStart w:id="754" w:name="_Toc166101215"/>
      <w:r/>
      <w:bookmarkStart w:id="755" w:name="_Ref166101288"/>
      <w:r/>
      <w:bookmarkStart w:id="756" w:name="_Ref166101291"/>
      <w:r/>
      <w:bookmarkStart w:id="757" w:name="_Ref166158276"/>
      <w:r/>
      <w:bookmarkStart w:id="758" w:name="_Ref166158279"/>
      <w:r/>
      <w:bookmarkStart w:id="759" w:name="_Ref166329210"/>
      <w:r/>
      <w:bookmarkStart w:id="760" w:name="_Ref166329212"/>
      <w:r/>
      <w:bookmarkStart w:id="761" w:name="_Ref166329217"/>
      <w:r/>
      <w:bookmarkStart w:id="762" w:name="_Toc224650008"/>
      <w:r/>
      <w:bookmarkStart w:id="763" w:name="_Toc236307233"/>
      <w:r/>
      <w:bookmarkEnd w:id="752"/>
      <w:r>
        <w:rPr>
          <w:rStyle w:val="1206"/>
          <w:b/>
          <w:bCs/>
          <w:sz w:val="24"/>
          <w:szCs w:val="24"/>
        </w:rPr>
        <w:t xml:space="preserve">ОБРАЗЦЫ ФОРМ ДЛЯ ЗАПОЛНЕНИЯ УЧАСТНИКАМИ ЗАКУПКИ</w:t>
      </w:r>
      <w:bookmarkEnd w:id="753"/>
      <w:r/>
      <w:bookmarkEnd w:id="754"/>
      <w:r/>
      <w:bookmarkEnd w:id="755"/>
      <w:r/>
      <w:bookmarkEnd w:id="756"/>
      <w:r/>
      <w:bookmarkEnd w:id="757"/>
      <w:r/>
      <w:bookmarkEnd w:id="758"/>
      <w:r/>
      <w:bookmarkEnd w:id="759"/>
      <w:r/>
      <w:bookmarkEnd w:id="760"/>
      <w:r/>
      <w:bookmarkEnd w:id="761"/>
      <w:r/>
      <w:bookmarkEnd w:id="762"/>
      <w:r/>
      <w:bookmarkEnd w:id="763"/>
      <w:r/>
      <w:r>
        <w:rPr>
          <w:rStyle w:val="1206"/>
          <w:b/>
          <w:bCs/>
          <w:sz w:val="24"/>
          <w:szCs w:val="24"/>
        </w:rPr>
      </w:r>
    </w:p>
    <w:p>
      <w:pPr>
        <w:pStyle w:val="1117"/>
        <w:rPr>
          <w:sz w:val="24"/>
          <w:szCs w:val="24"/>
          <w:u w:val="single"/>
        </w:rPr>
      </w:pPr>
      <w:r/>
      <w:bookmarkStart w:id="764" w:name="_Ref166329536"/>
      <w:r/>
      <w:bookmarkStart w:id="765" w:name="_Toc121292706"/>
      <w:r/>
      <w:bookmarkStart w:id="766" w:name="_Toc127334286"/>
      <w:r/>
      <w:bookmarkStart w:id="767" w:name="_Toc175583312"/>
      <w:r/>
      <w:bookmarkStart w:id="768" w:name="_Toc224650009"/>
      <w:r/>
      <w:bookmarkStart w:id="769" w:name="_Toc236307234"/>
      <w:r/>
      <w:bookmarkEnd w:id="764"/>
      <w:r/>
      <w:bookmarkEnd w:id="765"/>
      <w:r/>
      <w:bookmarkEnd w:id="766"/>
      <w:r>
        <w:rPr>
          <w:sz w:val="24"/>
          <w:szCs w:val="24"/>
          <w:u w:val="single"/>
        </w:rPr>
        <w:t xml:space="preserve">I ЧАСТЬ ЗАЯВКИ</w:t>
      </w:r>
      <w:bookmarkEnd w:id="767"/>
      <w:r/>
      <w:bookmarkEnd w:id="768"/>
      <w:r/>
      <w:bookmarkEnd w:id="769"/>
      <w:r>
        <w:rPr>
          <w:sz w:val="24"/>
          <w:szCs w:val="24"/>
          <w:u w:val="single"/>
        </w:rPr>
        <w:t xml:space="preserve"> </w:t>
      </w:r>
      <w:r>
        <w:rPr>
          <w:sz w:val="24"/>
          <w:szCs w:val="24"/>
          <w:u w:val="single"/>
        </w:rPr>
      </w:r>
    </w:p>
    <w:p>
      <w:pPr>
        <w:jc w:val="center"/>
        <w:rPr>
          <w:b/>
          <w:u w:val="single"/>
        </w:rPr>
      </w:pPr>
      <w:r>
        <w:rPr>
          <w:b/>
          <w:lang w:eastAsia="en-US"/>
        </w:rPr>
        <w:t xml:space="preserve">ПРЕДЛОЖЕНИЕ УЧАСТНИКА В ОТНОШЕНИИ ПРЕДМЕТА ЗАКУПКИ</w:t>
      </w:r>
      <w:r>
        <w:rPr>
          <w:b/>
          <w:u w:val="single"/>
        </w:rPr>
      </w:r>
    </w:p>
    <w:p>
      <w:pPr>
        <w:pStyle w:val="1369"/>
        <w:ind w:firstLine="0"/>
        <w:jc w:val="center"/>
        <w:rPr>
          <w:b/>
          <w:iCs/>
          <w:sz w:val="22"/>
        </w:rPr>
      </w:pPr>
      <w:r>
        <w:rPr>
          <w:b/>
          <w:iCs/>
          <w:sz w:val="22"/>
        </w:rPr>
      </w:r>
      <w:r>
        <w:rPr>
          <w:b/>
          <w:iCs/>
          <w:sz w:val="22"/>
        </w:rPr>
      </w:r>
    </w:p>
    <w:p>
      <w:pPr>
        <w:pStyle w:val="1369"/>
        <w:ind w:left="5170" w:firstLine="0"/>
        <w:rPr>
          <w:iCs/>
          <w:sz w:val="22"/>
        </w:rPr>
      </w:pPr>
      <w:r>
        <w:rPr>
          <w:iCs/>
          <w:sz w:val="22"/>
        </w:rPr>
      </w:r>
      <w:r>
        <w:rPr>
          <w:iCs/>
          <w:sz w:val="22"/>
        </w:rPr>
      </w:r>
    </w:p>
    <w:p>
      <w:pPr>
        <w:pStyle w:val="1369"/>
        <w:ind w:left="5170" w:firstLine="0"/>
        <w:rPr>
          <w:iCs/>
          <w:sz w:val="22"/>
        </w:rPr>
      </w:pPr>
      <w:r>
        <w:rPr>
          <w:iCs/>
          <w:sz w:val="22"/>
        </w:rPr>
      </w:r>
      <w:r>
        <w:rPr>
          <w:iCs/>
          <w:sz w:val="22"/>
        </w:rPr>
      </w:r>
    </w:p>
    <w:p>
      <w:pPr>
        <w:pStyle w:val="1117"/>
        <w:numPr>
          <w:ilvl w:val="0"/>
          <w:numId w:val="44"/>
        </w:numPr>
        <w:tabs>
          <w:tab w:val="clear" w:pos="576" w:leader="none"/>
          <w:tab w:val="left" w:pos="1418" w:leader="none"/>
          <w:tab w:val="left" w:pos="1843" w:leader="none"/>
        </w:tabs>
        <w:rPr>
          <w:sz w:val="24"/>
          <w:szCs w:val="24"/>
        </w:rPr>
      </w:pPr>
      <w:r/>
      <w:bookmarkStart w:id="770" w:name="_Toc224650010"/>
      <w:r/>
      <w:bookmarkStart w:id="771" w:name="_Toc236307235"/>
      <w:r>
        <w:rPr>
          <w:sz w:val="24"/>
          <w:szCs w:val="24"/>
        </w:rPr>
        <w:t xml:space="preserve">Предложение участника закупки в отношении предмета закупки</w:t>
      </w:r>
      <w:bookmarkEnd w:id="770"/>
      <w:r/>
      <w:bookmarkEnd w:id="771"/>
      <w:r/>
      <w:r>
        <w:rPr>
          <w:sz w:val="24"/>
          <w:szCs w:val="24"/>
        </w:rPr>
      </w:r>
    </w:p>
    <w:p>
      <w:r/>
      <w:r/>
    </w:p>
    <w:p>
      <w:r/>
      <w:r/>
    </w:p>
    <w:p>
      <w:r>
        <w:t xml:space="preserve">В данном предложении приводится подтверждение выполнения каждого пункта части </w:t>
      </w:r>
      <w:r>
        <w:rPr>
          <w:lang w:val="en-US"/>
        </w:rPr>
        <w:t xml:space="preserve">V</w:t>
      </w:r>
      <w:r>
        <w:t xml:space="preserve"> «Техническая часть».</w:t>
      </w:r>
      <w:r/>
    </w:p>
    <w:p>
      <w:pPr>
        <w:rPr>
          <w:sz w:val="22"/>
          <w:szCs w:val="22"/>
        </w:rPr>
      </w:pPr>
      <w:r>
        <w:rPr>
          <w:sz w:val="22"/>
          <w:szCs w:val="22"/>
        </w:rPr>
      </w:r>
      <w:r>
        <w:rPr>
          <w:sz w:val="22"/>
          <w:szCs w:val="22"/>
        </w:rPr>
      </w:r>
    </w:p>
    <w:p>
      <w:pPr>
        <w:rPr>
          <w:b/>
          <w:sz w:val="20"/>
        </w:rPr>
      </w:pPr>
      <w:r/>
      <w:bookmarkStart w:id="772" w:name="_Toc247081501"/>
      <w:r>
        <w:rPr>
          <w:b/>
          <w:sz w:val="20"/>
        </w:rPr>
        <w:t xml:space="preserve">Инструкции по заполнению</w:t>
      </w:r>
      <w:bookmarkEnd w:id="772"/>
      <w:r/>
      <w:r>
        <w:rPr>
          <w:b/>
          <w:sz w:val="20"/>
        </w:rPr>
      </w:r>
    </w:p>
    <w:p>
      <w:pPr>
        <w:numPr>
          <w:ilvl w:val="0"/>
          <w:numId w:val="13"/>
        </w:numPr>
        <w:spacing w:after="0"/>
        <w:rPr>
          <w:sz w:val="20"/>
        </w:rPr>
      </w:pPr>
      <w:r>
        <w:rPr>
          <w:sz w:val="20"/>
        </w:rPr>
        <w:t xml:space="preserve">Данные инструкции не следует воспроизводить в документах, подготовленных Участником.</w:t>
      </w:r>
      <w:r>
        <w:rPr>
          <w:sz w:val="20"/>
        </w:rPr>
      </w:r>
    </w:p>
    <w:p>
      <w:pPr>
        <w:numPr>
          <w:ilvl w:val="0"/>
          <w:numId w:val="13"/>
        </w:numPr>
        <w:spacing w:after="0"/>
        <w:rPr>
          <w:sz w:val="20"/>
        </w:rPr>
      </w:pPr>
      <w:r>
        <w:rPr>
          <w:sz w:val="20"/>
        </w:rPr>
        <w:t xml:space="preserve">Выше приведена форма титульного листа Предложения участника. </w:t>
      </w:r>
      <w:r>
        <w:rPr>
          <w:sz w:val="20"/>
        </w:rPr>
      </w:r>
    </w:p>
    <w:p>
      <w:pPr>
        <w:numPr>
          <w:ilvl w:val="0"/>
          <w:numId w:val="13"/>
        </w:numPr>
        <w:spacing w:after="0"/>
        <w:rPr>
          <w:sz w:val="20"/>
        </w:rPr>
      </w:pPr>
      <w:r>
        <w:rPr>
          <w:sz w:val="20"/>
        </w:rPr>
        <w:t xml:space="preserve">В тексте Предложения участника должно быть указано </w:t>
      </w:r>
      <w:r>
        <w:rPr>
          <w:sz w:val="20"/>
        </w:rPr>
        <w:t xml:space="preserve">попунктно</w:t>
      </w:r>
      <w:r>
        <w:rPr>
          <w:sz w:val="20"/>
        </w:rPr>
        <w:t xml:space="preserve"> выполнение каждого раздела, пункта и подпункта части V «Техническая часть». Формулировки «Согласно с Техническим заданием», «Услуги будут оказаны согласно техническому заданию» и подобные рассматриваются как </w:t>
      </w:r>
      <w:r>
        <w:rPr>
          <w:sz w:val="20"/>
        </w:rPr>
        <w:t xml:space="preserve">непредоставление</w:t>
      </w:r>
      <w:r>
        <w:rPr>
          <w:sz w:val="20"/>
        </w:rPr>
        <w:t xml:space="preserve"> Предложения участника.</w:t>
      </w:r>
      <w:r>
        <w:rPr>
          <w:sz w:val="20"/>
        </w:rPr>
      </w:r>
    </w:p>
    <w:p>
      <w:pPr>
        <w:tabs>
          <w:tab w:val="left" w:pos="1080" w:leader="none"/>
        </w:tabs>
        <w:rPr>
          <w:sz w:val="20"/>
        </w:rPr>
      </w:pPr>
      <w:r>
        <w:rPr>
          <w:sz w:val="20"/>
        </w:rPr>
      </w:r>
      <w:r>
        <w:rPr>
          <w:sz w:val="20"/>
        </w:rPr>
      </w:r>
    </w:p>
    <w:p>
      <w:pPr>
        <w:tabs>
          <w:tab w:val="left" w:pos="1080" w:leader="none"/>
        </w:tabs>
        <w:rPr>
          <w:sz w:val="20"/>
        </w:rPr>
      </w:pPr>
      <w:r>
        <w:rPr>
          <w:sz w:val="20"/>
        </w:rPr>
      </w:r>
      <w:r>
        <w:rPr>
          <w:sz w:val="20"/>
        </w:rPr>
      </w:r>
    </w:p>
    <w:p>
      <w:pPr>
        <w:pStyle w:val="1352"/>
        <w:ind w:left="0" w:firstLine="709"/>
        <w:rPr>
          <w:rFonts w:eastAsia="Calibri"/>
          <w:sz w:val="20"/>
          <w:szCs w:val="20"/>
        </w:rPr>
      </w:pPr>
      <w:r>
        <w:rPr>
          <w:rFonts w:eastAsia="Calibri"/>
          <w:sz w:val="20"/>
          <w:szCs w:val="20"/>
        </w:rPr>
      </w:r>
      <w:r>
        <w:rPr>
          <w:rFonts w:eastAsia="Calibri"/>
          <w:sz w:val="20"/>
          <w:szCs w:val="20"/>
        </w:rPr>
      </w:r>
    </w:p>
    <w:p>
      <w:pPr>
        <w:rPr>
          <w:sz w:val="22"/>
          <w:szCs w:val="22"/>
        </w:rPr>
      </w:pPr>
      <w:r>
        <w:rPr>
          <w:sz w:val="22"/>
          <w:szCs w:val="22"/>
        </w:rPr>
        <w:t xml:space="preserve">Данная форма под</w:t>
      </w:r>
      <w:r>
        <w:rPr>
          <w:sz w:val="22"/>
          <w:szCs w:val="22"/>
        </w:rPr>
        <w:t xml:space="preserve">ается участником закупки в составе первой части заявки.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r>
        <w:rPr>
          <w:sz w:val="22"/>
          <w:szCs w:val="22"/>
        </w:rPr>
      </w:r>
    </w:p>
    <w:p>
      <w:pPr>
        <w:ind w:firstLine="567"/>
      </w:pPr>
      <w:r/>
      <w:r/>
    </w:p>
    <w:p>
      <w:pPr>
        <w:jc w:val="left"/>
        <w:spacing w:after="0"/>
      </w:pPr>
      <w:r>
        <w:br w:type="page" w:clear="all"/>
      </w:r>
      <w:r/>
    </w:p>
    <w:p>
      <w:pPr>
        <w:pStyle w:val="1117"/>
        <w:rPr>
          <w:sz w:val="24"/>
          <w:szCs w:val="24"/>
          <w:u w:val="single"/>
        </w:rPr>
      </w:pPr>
      <w:r/>
      <w:bookmarkStart w:id="773" w:name="_Toc175583314"/>
      <w:r/>
      <w:bookmarkStart w:id="774" w:name="_Toc224650011"/>
      <w:r/>
      <w:bookmarkStart w:id="775" w:name="_Toc236307236"/>
      <w:r>
        <w:rPr>
          <w:sz w:val="24"/>
          <w:szCs w:val="24"/>
          <w:u w:val="single"/>
          <w:lang w:val="en-US"/>
        </w:rPr>
        <w:t xml:space="preserve">II</w:t>
      </w:r>
      <w:r>
        <w:rPr>
          <w:sz w:val="24"/>
          <w:szCs w:val="24"/>
          <w:u w:val="single"/>
        </w:rPr>
        <w:t xml:space="preserve"> ЧАСТЬ ЗАЯВКИ</w:t>
      </w:r>
      <w:bookmarkEnd w:id="773"/>
      <w:r/>
      <w:bookmarkEnd w:id="774"/>
      <w:r/>
      <w:bookmarkEnd w:id="775"/>
      <w:r/>
      <w:r>
        <w:rPr>
          <w:sz w:val="24"/>
          <w:szCs w:val="24"/>
          <w:u w:val="single"/>
        </w:rPr>
      </w:r>
    </w:p>
    <w:p>
      <w:r/>
      <w:r/>
    </w:p>
    <w:p>
      <w:pPr>
        <w:pStyle w:val="1117"/>
        <w:numPr>
          <w:ilvl w:val="0"/>
          <w:numId w:val="44"/>
        </w:numPr>
        <w:tabs>
          <w:tab w:val="clear" w:pos="576" w:leader="none"/>
          <w:tab w:val="left" w:pos="1418" w:leader="none"/>
          <w:tab w:val="left" w:pos="1843" w:leader="none"/>
        </w:tabs>
        <w:rPr>
          <w:sz w:val="24"/>
          <w:szCs w:val="24"/>
        </w:rPr>
      </w:pPr>
      <w:r/>
      <w:bookmarkStart w:id="776" w:name="_Toc175583315"/>
      <w:r/>
      <w:bookmarkStart w:id="777" w:name="_Toc224650012"/>
      <w:r/>
      <w:bookmarkStart w:id="778" w:name="_Toc236307237"/>
      <w:r>
        <w:rPr>
          <w:sz w:val="24"/>
          <w:szCs w:val="24"/>
        </w:rPr>
        <w:t xml:space="preserve">СВЕДЕНИЯ ОБ УЧАСТНИКЕ ЗАКУПКИ</w:t>
      </w:r>
      <w:bookmarkEnd w:id="776"/>
      <w:r/>
      <w:bookmarkEnd w:id="777"/>
      <w:r/>
      <w:bookmarkEnd w:id="778"/>
      <w:r/>
      <w:r>
        <w:rPr>
          <w:sz w:val="24"/>
          <w:szCs w:val="24"/>
        </w:rPr>
      </w:r>
    </w:p>
    <w:p>
      <w:pPr>
        <w:pStyle w:val="1336"/>
        <w:jc w:val="both"/>
        <w:rPr>
          <w:rFonts w:ascii="Times New Roman" w:hAnsi="Times New Roman" w:cs="Times New Roman"/>
          <w:sz w:val="24"/>
          <w:szCs w:val="24"/>
        </w:rPr>
      </w:pPr>
      <w:r>
        <w:rPr>
          <w:rFonts w:ascii="Times New Roman" w:hAnsi="Times New Roman" w:cs="Times New Roman"/>
          <w:sz w:val="24"/>
          <w:szCs w:val="24"/>
        </w:rPr>
        <w:t xml:space="preserve">на участие в конкурсе ___________ {указывается титул закупки}</w:t>
      </w:r>
      <w:r>
        <w:rPr>
          <w:rFonts w:ascii="Times New Roman" w:hAnsi="Times New Roman" w:cs="Times New Roman"/>
          <w:sz w:val="24"/>
          <w:szCs w:val="24"/>
        </w:rPr>
      </w:r>
    </w:p>
    <w:p>
      <w:pPr>
        <w:pStyle w:val="1336"/>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p>
    <w:p>
      <w:pPr>
        <w:pStyle w:val="1336"/>
        <w:numPr>
          <w:ilvl w:val="1"/>
          <w:numId w:val="17"/>
        </w:numPr>
        <w:jc w:val="both"/>
        <w:rPr>
          <w:rFonts w:ascii="Times New Roman" w:hAnsi="Times New Roman" w:cs="Times New Roman"/>
          <w:sz w:val="24"/>
          <w:szCs w:val="24"/>
        </w:rPr>
      </w:pPr>
      <w:r>
        <w:rPr>
          <w:rFonts w:ascii="Times New Roman" w:hAnsi="Times New Roman" w:cs="Times New Roman"/>
          <w:sz w:val="24"/>
          <w:szCs w:val="24"/>
        </w:rPr>
        <w:t xml:space="preserve">Информация об участнике закупки:</w:t>
      </w:r>
      <w:r>
        <w:rPr>
          <w:rFonts w:ascii="Times New Roman" w:hAnsi="Times New Roman" w:cs="Times New Roman"/>
          <w:sz w:val="24"/>
          <w:szCs w:val="24"/>
        </w:rPr>
      </w:r>
    </w:p>
    <w:tbl>
      <w:tblPr>
        <w:tblW w:w="5000" w:type="pct"/>
        <w:tblLayout w:type="fixed"/>
        <w:tblCellMar>
          <w:left w:w="62" w:type="dxa"/>
          <w:top w:w="102" w:type="dxa"/>
          <w:right w:w="62" w:type="dxa"/>
          <w:bottom w:w="102" w:type="dxa"/>
        </w:tblCellMar>
        <w:tblLook w:val="04A0" w:firstRow="1" w:lastRow="0" w:firstColumn="1" w:lastColumn="0" w:noHBand="0" w:noVBand="1"/>
      </w:tblPr>
      <w:tblGrid>
        <w:gridCol w:w="5746"/>
        <w:gridCol w:w="3733"/>
      </w:tblGrid>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Наименование </w:t>
            </w:r>
            <w:r>
              <w:rPr>
                <w:rFonts w:ascii="Times New Roman" w:hAnsi="Times New Roman" w:cs="Times New Roman"/>
                <w:i/>
                <w:sz w:val="22"/>
                <w:szCs w:val="22"/>
              </w:rPr>
              <w:t xml:space="preserve">(для юридического лица)</w:t>
            </w:r>
            <w:r>
              <w:rPr>
                <w:rFonts w:ascii="Times New Roman" w:hAnsi="Times New Roman" w:cs="Times New Roman"/>
                <w:sz w:val="22"/>
                <w:szCs w:val="22"/>
              </w:rPr>
              <w:t xml:space="preserve">:</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Фирменное наименование </w:t>
            </w:r>
            <w:r>
              <w:rPr>
                <w:rFonts w:ascii="Times New Roman" w:hAnsi="Times New Roman" w:cs="Times New Roman"/>
                <w:i/>
                <w:sz w:val="22"/>
                <w:szCs w:val="22"/>
              </w:rPr>
              <w:t xml:space="preserve">(для юридического лица, указывается при наличии):</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Адрес в пределах места нахождения </w:t>
            </w:r>
            <w:r>
              <w:rPr>
                <w:rFonts w:ascii="Times New Roman" w:hAnsi="Times New Roman" w:cs="Times New Roman"/>
                <w:i/>
                <w:sz w:val="22"/>
                <w:szCs w:val="22"/>
              </w:rPr>
              <w:t xml:space="preserve">(для юридического лица):</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Фамилия, имя, отчество (при наличии) </w:t>
            </w:r>
            <w:r>
              <w:rPr>
                <w:rFonts w:ascii="Times New Roman" w:hAnsi="Times New Roman" w:cs="Times New Roman"/>
                <w:i/>
                <w:sz w:val="22"/>
                <w:szCs w:val="22"/>
              </w:rPr>
              <w:t xml:space="preserve">(для физического лица, если </w:t>
            </w:r>
            <w:r>
              <w:rPr>
                <w:rFonts w:ascii="Times New Roman" w:hAnsi="Times New Roman" w:eastAsia="Arial Unicode MS" w:cs="Times New Roman"/>
                <w:i/>
                <w:sz w:val="22"/>
                <w:szCs w:val="22"/>
              </w:rPr>
              <w:t xml:space="preserve">участником закупки является индивидуальный предприниматель)</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Паспортные данные </w:t>
            </w:r>
            <w:r>
              <w:rPr>
                <w:rFonts w:ascii="Times New Roman" w:hAnsi="Times New Roman" w:cs="Times New Roman"/>
                <w:i/>
                <w:sz w:val="22"/>
                <w:szCs w:val="22"/>
              </w:rPr>
              <w:t xml:space="preserve">(для физического лица, если </w:t>
            </w:r>
            <w:r>
              <w:rPr>
                <w:rFonts w:ascii="Times New Roman" w:hAnsi="Times New Roman" w:eastAsia="Arial Unicode MS" w:cs="Times New Roman"/>
                <w:i/>
                <w:sz w:val="22"/>
                <w:szCs w:val="22"/>
              </w:rPr>
              <w:t xml:space="preserve">участником закупки является индивидуальный предприниматель)</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Pr>
                <w:rFonts w:ascii="Times New Roman" w:hAnsi="Times New Roman" w:cs="Times New Roman"/>
                <w:i/>
                <w:sz w:val="22"/>
                <w:szCs w:val="22"/>
              </w:rPr>
              <w:t xml:space="preserve">(для физического лица, если </w:t>
            </w:r>
            <w:r>
              <w:rPr>
                <w:rFonts w:ascii="Times New Roman" w:hAnsi="Times New Roman" w:eastAsia="Arial Unicode MS" w:cs="Times New Roman"/>
                <w:i/>
                <w:sz w:val="22"/>
                <w:szCs w:val="22"/>
              </w:rPr>
              <w:t xml:space="preserve">участником закупки является индивидуальный предприниматель)</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Идентификационный номер налогоплательщика – участника закупки (</w:t>
            </w:r>
            <w:r>
              <w:rPr>
                <w:rFonts w:ascii="Times New Roman" w:hAnsi="Times New Roman" w:cs="Times New Roman"/>
                <w:i/>
                <w:sz w:val="22"/>
                <w:szCs w:val="22"/>
              </w:rPr>
              <w:t xml:space="preserve">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Pr>
                <w:rFonts w:ascii="Times New Roman" w:hAnsi="Times New Roman" w:cs="Times New Roman"/>
                <w:sz w:val="22"/>
                <w:szCs w:val="22"/>
              </w:rPr>
              <w:t xml:space="preserve">):</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r>
        <w:tblPrEx/>
        <w:trPr/>
        <w:tc>
          <w:tcPr>
            <w:tcBorders>
              <w:top w:val="single" w:color="000000" w:sz="4" w:space="0"/>
              <w:left w:val="single" w:color="000000" w:sz="4" w:space="0"/>
              <w:bottom w:val="single" w:color="000000" w:sz="4" w:space="0"/>
              <w:right w:val="single" w:color="000000" w:sz="4" w:space="0"/>
            </w:tcBorders>
            <w:tcW w:w="5670" w:type="dxa"/>
            <w:textDirection w:val="lrTb"/>
            <w:noWrap w:val="false"/>
          </w:tcPr>
          <w:p>
            <w:pPr>
              <w:pStyle w:val="1336"/>
              <w:ind w:firstLine="0"/>
              <w:rPr>
                <w:rFonts w:ascii="Times New Roman" w:hAnsi="Times New Roman" w:cs="Times New Roman"/>
                <w:sz w:val="22"/>
                <w:szCs w:val="22"/>
              </w:rPr>
            </w:pPr>
            <w:r>
              <w:rPr>
                <w:rFonts w:ascii="Times New Roman" w:hAnsi="Times New Roman" w:cs="Times New Roman"/>
                <w:sz w:val="22"/>
                <w:szCs w:val="22"/>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Pr>
                <w:rFonts w:ascii="Times New Roman" w:hAnsi="Times New Roman" w:cs="Times New Roman"/>
                <w:i/>
                <w:sz w:val="22"/>
                <w:szCs w:val="22"/>
              </w:rPr>
              <w:t xml:space="preserve">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Pr>
                <w:rFonts w:ascii="Times New Roman" w:hAnsi="Times New Roman" w:cs="Times New Roman"/>
                <w:sz w:val="22"/>
                <w:szCs w:val="22"/>
              </w:rPr>
              <w:t xml:space="preserve">)</w:t>
            </w:r>
            <w:r>
              <w:rPr>
                <w:rFonts w:ascii="Times New Roman" w:hAnsi="Times New Roman" w:cs="Times New Roman"/>
                <w:i/>
                <w:sz w:val="22"/>
                <w:szCs w:val="22"/>
              </w:rPr>
              <w:t xml:space="preserve"> (для юридического лица):</w:t>
            </w:r>
            <w:r>
              <w:rPr>
                <w:rFonts w:ascii="Times New Roman" w:hAnsi="Times New Roman" w:cs="Times New Roman"/>
                <w:sz w:val="22"/>
                <w:szCs w:val="22"/>
              </w:rPr>
            </w:r>
          </w:p>
        </w:tc>
        <w:tc>
          <w:tcPr>
            <w:tcBorders>
              <w:top w:val="single" w:color="000000" w:sz="4" w:space="0"/>
              <w:left w:val="single" w:color="000000" w:sz="4" w:space="0"/>
              <w:bottom w:val="single" w:color="000000" w:sz="4" w:space="0"/>
              <w:right w:val="single" w:color="000000" w:sz="4" w:space="0"/>
            </w:tcBorders>
            <w:tcW w:w="3684" w:type="dxa"/>
            <w:textDirection w:val="lrTb"/>
            <w:noWrap w:val="false"/>
          </w:tcPr>
          <w:p>
            <w:pPr>
              <w:pStyle w:val="1336"/>
              <w:rPr>
                <w:rFonts w:ascii="Times New Roman" w:hAnsi="Times New Roman" w:cs="Times New Roman"/>
                <w:sz w:val="22"/>
                <w:szCs w:val="22"/>
              </w:rPr>
            </w:pPr>
            <w:r>
              <w:rPr>
                <w:rFonts w:ascii="Times New Roman" w:hAnsi="Times New Roman" w:cs="Times New Roman"/>
                <w:sz w:val="22"/>
                <w:szCs w:val="22"/>
              </w:rPr>
            </w:r>
            <w:r>
              <w:rPr>
                <w:rFonts w:ascii="Times New Roman" w:hAnsi="Times New Roman" w:cs="Times New Roman"/>
                <w:sz w:val="22"/>
                <w:szCs w:val="22"/>
              </w:rPr>
            </w:r>
          </w:p>
        </w:tc>
      </w:tr>
    </w:tbl>
    <w:p>
      <w:pPr>
        <w:pStyle w:val="1352"/>
        <w:numPr>
          <w:ilvl w:val="1"/>
          <w:numId w:val="17"/>
        </w:numPr>
        <w:ind w:left="0" w:firstLine="851"/>
        <w:spacing w:after="120"/>
        <w:tabs>
          <w:tab w:val="left" w:pos="1080" w:leader="none"/>
        </w:tabs>
      </w:pPr>
      <w:r>
        <w:t xml:space="preserve">Перечень документов, прилагаемых участником закупки в составе заявки.</w:t>
      </w:r>
      <w:r/>
    </w:p>
    <w:tbl>
      <w:tblPr>
        <w:tblW w:w="5000" w:type="pct"/>
        <w:tblLayout w:type="fixed"/>
        <w:tblLook w:val="0000" w:firstRow="0" w:lastRow="0" w:firstColumn="0" w:lastColumn="0" w:noHBand="0" w:noVBand="0"/>
      </w:tblPr>
      <w:tblGrid>
        <w:gridCol w:w="848"/>
        <w:gridCol w:w="6483"/>
        <w:gridCol w:w="1200"/>
        <w:gridCol w:w="1040"/>
      </w:tblGrid>
      <w:tr>
        <w:tblPrEx/>
        <w:trPr>
          <w:tblHeader/>
        </w:trPr>
        <w:tc>
          <w:tcPr>
            <w:tcBorders>
              <w:top w:val="single" w:color="000000" w:sz="4" w:space="0"/>
              <w:left w:val="single" w:color="000000" w:sz="4" w:space="0"/>
              <w:bottom w:val="single" w:color="000000" w:sz="4" w:space="0"/>
              <w:right w:val="single" w:color="000000" w:sz="4" w:space="0"/>
            </w:tcBorders>
            <w:tcW w:w="829" w:type="dxa"/>
            <w:vAlign w:val="center"/>
            <w:textDirection w:val="lrTb"/>
            <w:noWrap w:val="false"/>
          </w:tcPr>
          <w:p>
            <w:pPr>
              <w:tabs>
                <w:tab w:val="left" w:pos="1080" w:leader="none"/>
              </w:tabs>
              <w:rPr>
                <w:sz w:val="20"/>
                <w:szCs w:val="20"/>
              </w:rPr>
            </w:pPr>
            <w:r>
              <w:rPr>
                <w:sz w:val="20"/>
                <w:szCs w:val="20"/>
              </w:rPr>
              <w:t xml:space="preserve">№ </w:t>
            </w:r>
            <w:r>
              <w:rPr>
                <w:sz w:val="20"/>
                <w:szCs w:val="20"/>
              </w:rPr>
              <w:t xml:space="preserve">п</w:t>
            </w:r>
            <w:r>
              <w:rPr>
                <w:sz w:val="20"/>
                <w:szCs w:val="20"/>
              </w:rPr>
              <w:t xml:space="preserve">/п</w:t>
            </w:r>
            <w:r>
              <w:rPr>
                <w:sz w:val="20"/>
                <w:szCs w:val="20"/>
              </w:rPr>
            </w:r>
          </w:p>
        </w:tc>
        <w:tc>
          <w:tcPr>
            <w:tcBorders>
              <w:top w:val="single" w:color="000000" w:sz="4" w:space="0"/>
              <w:left w:val="single" w:color="000000" w:sz="4" w:space="0"/>
              <w:bottom w:val="single" w:color="000000" w:sz="4" w:space="0"/>
              <w:right w:val="single" w:color="000000" w:sz="4" w:space="0"/>
            </w:tcBorders>
            <w:tcW w:w="6336" w:type="dxa"/>
            <w:vAlign w:val="center"/>
            <w:textDirection w:val="lrTb"/>
            <w:noWrap w:val="false"/>
          </w:tcPr>
          <w:p>
            <w:pPr>
              <w:tabs>
                <w:tab w:val="left" w:pos="1080" w:leader="none"/>
              </w:tabs>
              <w:rPr>
                <w:sz w:val="20"/>
                <w:szCs w:val="20"/>
              </w:rPr>
            </w:pPr>
            <w:r>
              <w:rPr>
                <w:sz w:val="20"/>
                <w:szCs w:val="20"/>
              </w:rPr>
              <w:t xml:space="preserve">Наименование</w:t>
            </w:r>
            <w:r>
              <w:rPr>
                <w:sz w:val="20"/>
                <w:szCs w:val="20"/>
              </w:rPr>
            </w:r>
          </w:p>
        </w:tc>
        <w:tc>
          <w:tcPr>
            <w:tcBorders>
              <w:top w:val="single" w:color="000000" w:sz="4" w:space="0"/>
              <w:left w:val="single" w:color="000000" w:sz="4" w:space="0"/>
              <w:bottom w:val="single" w:color="000000" w:sz="4" w:space="0"/>
              <w:right w:val="single" w:color="000000" w:sz="4" w:space="0"/>
            </w:tcBorders>
            <w:tcW w:w="1173" w:type="dxa"/>
            <w:vAlign w:val="center"/>
            <w:textDirection w:val="lrTb"/>
            <w:noWrap w:val="false"/>
          </w:tcPr>
          <w:p>
            <w:pPr>
              <w:tabs>
                <w:tab w:val="left" w:pos="1080" w:leader="none"/>
              </w:tabs>
              <w:rPr>
                <w:sz w:val="20"/>
                <w:szCs w:val="20"/>
              </w:rPr>
            </w:pPr>
            <w:r>
              <w:rPr>
                <w:sz w:val="20"/>
                <w:szCs w:val="20"/>
              </w:rPr>
              <w:t xml:space="preserve">№</w:t>
            </w:r>
            <w:r>
              <w:rPr>
                <w:sz w:val="20"/>
                <w:szCs w:val="20"/>
              </w:rPr>
            </w:r>
          </w:p>
          <w:p>
            <w:pPr>
              <w:tabs>
                <w:tab w:val="left" w:pos="1080" w:leader="none"/>
              </w:tabs>
              <w:rPr>
                <w:sz w:val="20"/>
                <w:szCs w:val="20"/>
              </w:rPr>
            </w:pPr>
            <w:r>
              <w:rPr>
                <w:sz w:val="20"/>
                <w:szCs w:val="20"/>
              </w:rPr>
              <w:t xml:space="preserve">страницы</w:t>
            </w:r>
            <w:r>
              <w:rPr>
                <w:sz w:val="20"/>
                <w:szCs w:val="20"/>
              </w:rPr>
            </w:r>
          </w:p>
        </w:tc>
        <w:tc>
          <w:tcPr>
            <w:tcBorders>
              <w:top w:val="single" w:color="000000" w:sz="4" w:space="0"/>
              <w:left w:val="single" w:color="000000" w:sz="4" w:space="0"/>
              <w:bottom w:val="single" w:color="000000" w:sz="4" w:space="0"/>
              <w:right w:val="single" w:color="000000" w:sz="4" w:space="0"/>
            </w:tcBorders>
            <w:tcW w:w="1016" w:type="dxa"/>
            <w:vAlign w:val="center"/>
            <w:textDirection w:val="lrTb"/>
            <w:noWrap w:val="false"/>
          </w:tcPr>
          <w:p>
            <w:pPr>
              <w:tabs>
                <w:tab w:val="left" w:pos="1080" w:leader="none"/>
              </w:tabs>
              <w:rPr>
                <w:sz w:val="20"/>
                <w:szCs w:val="20"/>
              </w:rPr>
            </w:pPr>
            <w:r>
              <w:rPr>
                <w:sz w:val="20"/>
                <w:szCs w:val="20"/>
              </w:rPr>
              <w:t xml:space="preserve">Число страниц</w:t>
            </w:r>
            <w:r>
              <w:rPr>
                <w:sz w:val="20"/>
                <w:szCs w:val="20"/>
              </w:rPr>
            </w:r>
          </w:p>
        </w:tc>
      </w:tr>
      <w:tr>
        <w:tblPrEx/>
        <w:trPr/>
        <w:tc>
          <w:tcPr>
            <w:tcBorders>
              <w:top w:val="single" w:color="000000" w:sz="4" w:space="0"/>
              <w:left w:val="single" w:color="000000" w:sz="4" w:space="0"/>
              <w:bottom w:val="single" w:color="000000" w:sz="4" w:space="0"/>
              <w:right w:val="single" w:color="000000" w:sz="4" w:space="0"/>
            </w:tcBorders>
            <w:tcW w:w="829" w:type="dxa"/>
            <w:vAlign w:val="center"/>
            <w:textDirection w:val="lrTb"/>
            <w:noWrap w:val="false"/>
          </w:tcPr>
          <w:p>
            <w:pPr>
              <w:tabs>
                <w:tab w:val="left" w:pos="1080" w:leader="none"/>
              </w:tabs>
              <w:rPr>
                <w:sz w:val="20"/>
                <w:szCs w:val="20"/>
              </w:rPr>
            </w:pPr>
            <w:r>
              <w:rPr>
                <w:sz w:val="20"/>
                <w:szCs w:val="20"/>
              </w:rPr>
              <w:t xml:space="preserve">1.</w:t>
            </w:r>
            <w:r>
              <w:rPr>
                <w:sz w:val="20"/>
                <w:szCs w:val="20"/>
              </w:rPr>
            </w:r>
          </w:p>
        </w:tc>
        <w:tc>
          <w:tcPr>
            <w:tcBorders>
              <w:top w:val="single" w:color="000000" w:sz="4" w:space="0"/>
              <w:left w:val="single" w:color="000000" w:sz="4" w:space="0"/>
              <w:bottom w:val="single" w:color="000000" w:sz="4" w:space="0"/>
              <w:right w:val="single" w:color="000000" w:sz="4" w:space="0"/>
            </w:tcBorders>
            <w:tcW w:w="6336"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173"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016" w:type="dxa"/>
            <w:textDirection w:val="lrTb"/>
            <w:noWrap w:val="false"/>
          </w:tcPr>
          <w:p>
            <w:pPr>
              <w:tabs>
                <w:tab w:val="left" w:pos="1080" w:leader="none"/>
              </w:tabs>
              <w:rPr>
                <w:sz w:val="20"/>
                <w:szCs w:val="20"/>
              </w:rPr>
            </w:pPr>
            <w:r>
              <w:rPr>
                <w:sz w:val="20"/>
                <w:szCs w:val="20"/>
              </w:rPr>
            </w:r>
            <w:r>
              <w:rPr>
                <w:sz w:val="20"/>
                <w:szCs w:val="20"/>
              </w:rPr>
            </w:r>
          </w:p>
        </w:tc>
      </w:tr>
      <w:tr>
        <w:tblPrEx/>
        <w:trPr/>
        <w:tc>
          <w:tcPr>
            <w:tcBorders>
              <w:top w:val="single" w:color="000000" w:sz="4" w:space="0"/>
              <w:left w:val="single" w:color="000000" w:sz="4" w:space="0"/>
              <w:bottom w:val="single" w:color="000000" w:sz="4" w:space="0"/>
              <w:right w:val="single" w:color="000000" w:sz="4" w:space="0"/>
            </w:tcBorders>
            <w:tcW w:w="829" w:type="dxa"/>
            <w:vAlign w:val="center"/>
            <w:textDirection w:val="lrTb"/>
            <w:noWrap w:val="false"/>
          </w:tcPr>
          <w:p>
            <w:pPr>
              <w:tabs>
                <w:tab w:val="left" w:pos="1080" w:leader="none"/>
              </w:tabs>
              <w:rPr>
                <w:sz w:val="20"/>
                <w:szCs w:val="20"/>
              </w:rPr>
            </w:pPr>
            <w:r>
              <w:rPr>
                <w:sz w:val="20"/>
                <w:szCs w:val="20"/>
              </w:rPr>
              <w:t xml:space="preserve">2</w:t>
            </w:r>
            <w:r>
              <w:rPr>
                <w:sz w:val="20"/>
                <w:szCs w:val="20"/>
              </w:rPr>
            </w:r>
          </w:p>
        </w:tc>
        <w:tc>
          <w:tcPr>
            <w:tcBorders>
              <w:top w:val="single" w:color="000000" w:sz="4" w:space="0"/>
              <w:left w:val="single" w:color="000000" w:sz="4" w:space="0"/>
              <w:bottom w:val="single" w:color="000000" w:sz="4" w:space="0"/>
              <w:right w:val="single" w:color="000000" w:sz="4" w:space="0"/>
            </w:tcBorders>
            <w:tcW w:w="6336"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173"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016" w:type="dxa"/>
            <w:textDirection w:val="lrTb"/>
            <w:noWrap w:val="false"/>
          </w:tcPr>
          <w:p>
            <w:pPr>
              <w:tabs>
                <w:tab w:val="left" w:pos="1080" w:leader="none"/>
              </w:tabs>
              <w:rPr>
                <w:sz w:val="20"/>
                <w:szCs w:val="20"/>
              </w:rPr>
            </w:pPr>
            <w:r>
              <w:rPr>
                <w:sz w:val="20"/>
                <w:szCs w:val="20"/>
              </w:rPr>
            </w:r>
            <w:r>
              <w:rPr>
                <w:sz w:val="20"/>
                <w:szCs w:val="20"/>
              </w:rPr>
            </w:r>
          </w:p>
        </w:tc>
      </w:tr>
      <w:tr>
        <w:tblPrEx/>
        <w:trPr/>
        <w:tc>
          <w:tcPr>
            <w:tcBorders>
              <w:top w:val="single" w:color="000000" w:sz="4" w:space="0"/>
              <w:left w:val="single" w:color="000000" w:sz="4" w:space="0"/>
              <w:bottom w:val="single" w:color="000000" w:sz="4" w:space="0"/>
              <w:right w:val="single" w:color="000000" w:sz="4" w:space="0"/>
            </w:tcBorders>
            <w:tcW w:w="829" w:type="dxa"/>
            <w:vAlign w:val="center"/>
            <w:textDirection w:val="lrTb"/>
            <w:noWrap w:val="false"/>
          </w:tcPr>
          <w:p>
            <w:pPr>
              <w:tabs>
                <w:tab w:val="left" w:pos="1080" w:leader="none"/>
              </w:tabs>
              <w:rPr>
                <w:sz w:val="20"/>
                <w:szCs w:val="20"/>
              </w:rPr>
            </w:pPr>
            <w:r>
              <w:rPr>
                <w:sz w:val="20"/>
                <w:szCs w:val="20"/>
              </w:rPr>
              <w:t xml:space="preserve">3.</w:t>
            </w:r>
            <w:r>
              <w:rPr>
                <w:sz w:val="20"/>
                <w:szCs w:val="20"/>
              </w:rPr>
            </w:r>
          </w:p>
        </w:tc>
        <w:tc>
          <w:tcPr>
            <w:tcBorders>
              <w:top w:val="single" w:color="000000" w:sz="4" w:space="0"/>
              <w:left w:val="single" w:color="000000" w:sz="4" w:space="0"/>
              <w:bottom w:val="single" w:color="000000" w:sz="4" w:space="0"/>
              <w:right w:val="single" w:color="000000" w:sz="4" w:space="0"/>
            </w:tcBorders>
            <w:tcW w:w="6336"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173"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016" w:type="dxa"/>
            <w:textDirection w:val="lrTb"/>
            <w:noWrap w:val="false"/>
          </w:tcPr>
          <w:p>
            <w:pPr>
              <w:tabs>
                <w:tab w:val="left" w:pos="1080" w:leader="none"/>
              </w:tabs>
              <w:rPr>
                <w:sz w:val="20"/>
                <w:szCs w:val="20"/>
              </w:rPr>
            </w:pPr>
            <w:r>
              <w:rPr>
                <w:sz w:val="20"/>
                <w:szCs w:val="20"/>
              </w:rPr>
            </w:r>
            <w:r>
              <w:rPr>
                <w:sz w:val="20"/>
                <w:szCs w:val="20"/>
              </w:rPr>
            </w:r>
          </w:p>
        </w:tc>
      </w:tr>
      <w:tr>
        <w:tblPrEx/>
        <w:trPr/>
        <w:tc>
          <w:tcPr>
            <w:tcBorders>
              <w:top w:val="single" w:color="000000" w:sz="4" w:space="0"/>
              <w:left w:val="single" w:color="000000" w:sz="4" w:space="0"/>
              <w:bottom w:val="single" w:color="000000" w:sz="4" w:space="0"/>
              <w:right w:val="single" w:color="000000" w:sz="4" w:space="0"/>
            </w:tcBorders>
            <w:tcW w:w="829" w:type="dxa"/>
            <w:textDirection w:val="lrTb"/>
            <w:noWrap w:val="false"/>
          </w:tcPr>
          <w:p>
            <w:pPr>
              <w:tabs>
                <w:tab w:val="left" w:pos="1080" w:leader="none"/>
              </w:tabs>
              <w:rPr>
                <w:sz w:val="20"/>
                <w:szCs w:val="20"/>
              </w:rPr>
            </w:pPr>
            <w:r>
              <w:rPr>
                <w:sz w:val="20"/>
                <w:szCs w:val="20"/>
              </w:rPr>
              <w:t xml:space="preserve">4.</w:t>
            </w:r>
            <w:r>
              <w:rPr>
                <w:sz w:val="20"/>
                <w:szCs w:val="20"/>
              </w:rPr>
            </w:r>
          </w:p>
        </w:tc>
        <w:tc>
          <w:tcPr>
            <w:tcBorders>
              <w:top w:val="single" w:color="000000" w:sz="4" w:space="0"/>
              <w:left w:val="single" w:color="000000" w:sz="4" w:space="0"/>
              <w:bottom w:val="single" w:color="000000" w:sz="4" w:space="0"/>
              <w:right w:val="single" w:color="000000" w:sz="4" w:space="0"/>
            </w:tcBorders>
            <w:tcW w:w="6336" w:type="dxa"/>
            <w:textDirection w:val="lrTb"/>
            <w:noWrap w:val="false"/>
          </w:tcPr>
          <w:p>
            <w:pPr>
              <w:tabs>
                <w:tab w:val="left" w:pos="1080" w:leader="none"/>
              </w:tabs>
              <w:rPr>
                <w:sz w:val="20"/>
                <w:szCs w:val="20"/>
              </w:rPr>
            </w:pPr>
            <w:r>
              <w:rPr>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173"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016" w:type="dxa"/>
            <w:textDirection w:val="lrTb"/>
            <w:noWrap w:val="false"/>
          </w:tcPr>
          <w:p>
            <w:pPr>
              <w:tabs>
                <w:tab w:val="left" w:pos="1080" w:leader="none"/>
              </w:tabs>
              <w:rPr>
                <w:sz w:val="20"/>
                <w:szCs w:val="20"/>
              </w:rPr>
            </w:pPr>
            <w:r>
              <w:rPr>
                <w:sz w:val="20"/>
                <w:szCs w:val="20"/>
              </w:rPr>
            </w:r>
            <w:r>
              <w:rPr>
                <w:sz w:val="20"/>
                <w:szCs w:val="20"/>
              </w:rPr>
            </w:r>
          </w:p>
        </w:tc>
      </w:tr>
      <w:tr>
        <w:tblPrEx/>
        <w:trPr/>
        <w:tc>
          <w:tcPr>
            <w:tcBorders>
              <w:top w:val="single" w:color="000000" w:sz="4" w:space="0"/>
              <w:left w:val="single" w:color="000000" w:sz="4" w:space="0"/>
              <w:bottom w:val="single" w:color="000000" w:sz="4" w:space="0"/>
              <w:right w:val="single" w:color="000000" w:sz="4" w:space="0"/>
            </w:tcBorders>
            <w:tcW w:w="829"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6336" w:type="dxa"/>
            <w:textDirection w:val="lrTb"/>
            <w:noWrap w:val="false"/>
          </w:tcPr>
          <w:p>
            <w:pPr>
              <w:tabs>
                <w:tab w:val="left" w:pos="1080" w:leader="none"/>
              </w:tabs>
              <w:rPr>
                <w:sz w:val="20"/>
                <w:szCs w:val="20"/>
              </w:rPr>
            </w:pPr>
            <w:r>
              <w:rPr>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173" w:type="dxa"/>
            <w:textDirection w:val="lrTb"/>
            <w:noWrap w:val="false"/>
          </w:tcPr>
          <w:p>
            <w:pPr>
              <w:tabs>
                <w:tab w:val="left" w:pos="1080" w:leader="none"/>
              </w:tabs>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016" w:type="dxa"/>
            <w:textDirection w:val="lrTb"/>
            <w:noWrap w:val="false"/>
          </w:tcPr>
          <w:p>
            <w:pPr>
              <w:tabs>
                <w:tab w:val="left" w:pos="1080" w:leader="none"/>
              </w:tabs>
              <w:rPr>
                <w:sz w:val="20"/>
                <w:szCs w:val="20"/>
              </w:rPr>
            </w:pPr>
            <w:r>
              <w:rPr>
                <w:sz w:val="20"/>
                <w:szCs w:val="20"/>
              </w:rPr>
            </w:r>
            <w:r>
              <w:rPr>
                <w:sz w:val="20"/>
                <w:szCs w:val="20"/>
              </w:rPr>
            </w:r>
          </w:p>
        </w:tc>
      </w:tr>
    </w:tbl>
    <w:p>
      <w:pPr>
        <w:sectPr>
          <w:footerReference w:type="default" r:id="rId14"/>
          <w:footerReference w:type="even" r:id="rId15"/>
          <w:footerReference w:type="first" r:id="rId16"/>
          <w:footnotePr/>
          <w:endnotePr/>
          <w:type w:val="nextPage"/>
          <w:pgSz w:w="11906" w:h="16838" w:orient="portrait"/>
          <w:pgMar w:top="1134" w:right="850" w:bottom="1134" w:left="1701" w:header="0" w:footer="170" w:gutter="0"/>
          <w:cols w:num="1" w:sep="0" w:space="720" w:equalWidth="1"/>
          <w:docGrid w:linePitch="360"/>
        </w:sectPr>
      </w:pPr>
      <w:r/>
      <w:r/>
    </w:p>
    <w:p>
      <w:pPr>
        <w:pStyle w:val="1117"/>
        <w:numPr>
          <w:ilvl w:val="0"/>
          <w:numId w:val="44"/>
        </w:numPr>
        <w:ind w:left="0" w:firstLine="0"/>
        <w:jc w:val="both"/>
        <w:tabs>
          <w:tab w:val="clear" w:pos="576" w:leader="none"/>
          <w:tab w:val="left" w:pos="1418" w:leader="none"/>
          <w:tab w:val="left" w:pos="1843" w:leader="none"/>
        </w:tabs>
        <w:rPr>
          <w:sz w:val="24"/>
          <w:szCs w:val="24"/>
        </w:rPr>
      </w:pPr>
      <w:r/>
      <w:bookmarkStart w:id="779" w:name="_Toc160009462"/>
      <w:r/>
      <w:bookmarkStart w:id="780" w:name="_Toc129874156"/>
      <w:r/>
      <w:bookmarkStart w:id="781" w:name="_Toc191290280"/>
      <w:r/>
      <w:bookmarkStart w:id="782" w:name="_Toc224650014"/>
      <w:r/>
      <w:bookmarkStart w:id="783" w:name="_Toc236307238"/>
      <w:r/>
      <w:bookmarkEnd w:id="779"/>
      <w:r/>
      <w:bookmarkEnd w:id="780"/>
      <w:r>
        <w:rPr>
          <w:sz w:val="24"/>
          <w:szCs w:val="24"/>
        </w:rPr>
        <w:t xml:space="preserve">Форма независимой гарантии, предоставляемой в качестве обеспечения заявки на участие в конкурентной закупке товаров, работ, услуг в электронной форме, участниками которой могут быть только субъекты малого и среднего предпринимательства</w:t>
      </w:r>
      <w:bookmarkEnd w:id="781"/>
      <w:r/>
      <w:bookmarkEnd w:id="782"/>
      <w:r/>
      <w:bookmarkEnd w:id="783"/>
      <w:r>
        <w:rPr>
          <w:sz w:val="24"/>
          <w:szCs w:val="24"/>
        </w:rPr>
        <w:t xml:space="preserve"> </w:t>
      </w:r>
      <w:r>
        <w:rPr>
          <w:sz w:val="24"/>
          <w:szCs w:val="24"/>
        </w:rPr>
      </w:r>
    </w:p>
    <w:p>
      <w:pPr>
        <w:rPr>
          <w:bCs/>
          <w:sz w:val="26"/>
          <w:szCs w:val="26"/>
        </w:rPr>
      </w:pPr>
      <w:r>
        <w:rPr>
          <w:bCs/>
          <w:sz w:val="26"/>
          <w:szCs w:val="26"/>
        </w:rPr>
      </w:r>
      <w:r>
        <w:rPr>
          <w:bCs/>
          <w:sz w:val="26"/>
          <w:szCs w:val="26"/>
        </w:rPr>
      </w:r>
    </w:p>
    <w:p>
      <w:pPr>
        <w:jc w:val="center"/>
        <w:widowControl w:val="off"/>
        <w:rPr>
          <w:b/>
        </w:rPr>
      </w:pPr>
      <w:r>
        <w:rPr>
          <w:b/>
        </w:rPr>
        <w:t xml:space="preserve">НЕЗАВИСИМАЯ ГАРАНТИЯ</w:t>
      </w:r>
      <w:r>
        <w:rPr>
          <w:b/>
        </w:rPr>
      </w:r>
    </w:p>
    <w:tbl>
      <w:tblPr>
        <w:tblW w:w="9498" w:type="dxa"/>
        <w:tblInd w:w="-34" w:type="dxa"/>
        <w:tblLayout w:type="fixed"/>
        <w:tblCellMar>
          <w:left w:w="28" w:type="dxa"/>
          <w:top w:w="114" w:type="dxa"/>
          <w:right w:w="28" w:type="dxa"/>
          <w:bottom w:w="114" w:type="dxa"/>
        </w:tblCellMar>
        <w:tblLook w:val="04A0" w:firstRow="1" w:lastRow="0" w:firstColumn="1" w:lastColumn="0" w:noHBand="0" w:noVBand="1"/>
      </w:tblPr>
      <w:tblGrid>
        <w:gridCol w:w="4049"/>
        <w:gridCol w:w="303"/>
        <w:gridCol w:w="1798"/>
        <w:gridCol w:w="605"/>
        <w:gridCol w:w="895"/>
        <w:gridCol w:w="450"/>
        <w:gridCol w:w="1398"/>
      </w:tblGrid>
      <w:tr>
        <w:tblPrEx/>
        <w:trPr/>
        <w:tc>
          <w:tcPr>
            <w:tcW w:w="4048" w:type="dxa"/>
            <w:textDirection w:val="lrTb"/>
            <w:noWrap w:val="false"/>
          </w:tcPr>
          <w:p>
            <w:pPr>
              <w:widowControl w:val="off"/>
              <w:rPr>
                <w:sz w:val="20"/>
                <w:szCs w:val="20"/>
              </w:rPr>
            </w:pPr>
            <w:r>
              <w:rPr>
                <w:sz w:val="20"/>
                <w:szCs w:val="20"/>
              </w:rPr>
            </w:r>
            <w:r>
              <w:rPr>
                <w:sz w:val="20"/>
                <w:szCs w:val="20"/>
              </w:rPr>
            </w:r>
          </w:p>
        </w:tc>
        <w:tc>
          <w:tcPr>
            <w:tcW w:w="303" w:type="dxa"/>
            <w:textDirection w:val="lrTb"/>
            <w:noWrap w:val="false"/>
          </w:tcPr>
          <w:p>
            <w:pPr>
              <w:widowControl w:val="off"/>
              <w:rPr>
                <w:sz w:val="20"/>
                <w:szCs w:val="20"/>
              </w:rPr>
            </w:pPr>
            <w:r>
              <w:rPr>
                <w:sz w:val="20"/>
                <w:szCs w:val="20"/>
              </w:rPr>
            </w:r>
            <w:r>
              <w:rPr>
                <w:sz w:val="20"/>
                <w:szCs w:val="20"/>
              </w:rPr>
            </w:r>
          </w:p>
        </w:tc>
        <w:tc>
          <w:tcPr>
            <w:tcW w:w="1798" w:type="dxa"/>
            <w:textDirection w:val="lrTb"/>
            <w:noWrap w:val="false"/>
          </w:tcPr>
          <w:p>
            <w:pPr>
              <w:widowControl w:val="off"/>
              <w:rPr>
                <w:sz w:val="20"/>
                <w:szCs w:val="20"/>
              </w:rPr>
            </w:pPr>
            <w:r>
              <w:rPr>
                <w:sz w:val="20"/>
                <w:szCs w:val="20"/>
              </w:rPr>
            </w:r>
            <w:r>
              <w:rPr>
                <w:sz w:val="20"/>
                <w:szCs w:val="20"/>
              </w:rPr>
            </w:r>
          </w:p>
        </w:tc>
        <w:tc>
          <w:tcPr>
            <w:tcW w:w="605" w:type="dxa"/>
            <w:textDirection w:val="lrTb"/>
            <w:noWrap w:val="false"/>
          </w:tcPr>
          <w:p>
            <w:pPr>
              <w:widowControl w:val="off"/>
              <w:rPr>
                <w:sz w:val="20"/>
                <w:szCs w:val="20"/>
              </w:rPr>
            </w:pPr>
            <w:r>
              <w:rPr>
                <w:sz w:val="20"/>
                <w:szCs w:val="20"/>
              </w:rPr>
            </w:r>
            <w:r>
              <w:rPr>
                <w:sz w:val="20"/>
                <w:szCs w:val="20"/>
              </w:rPr>
            </w:r>
          </w:p>
        </w:tc>
        <w:tc>
          <w:tcPr>
            <w:tcW w:w="895" w:type="dxa"/>
            <w:textDirection w:val="lrTb"/>
            <w:noWrap w:val="false"/>
          </w:tcPr>
          <w:p>
            <w:pPr>
              <w:widowControl w:val="off"/>
              <w:rPr>
                <w:sz w:val="20"/>
                <w:szCs w:val="20"/>
              </w:rPr>
            </w:pPr>
            <w:r>
              <w:rPr>
                <w:sz w:val="20"/>
                <w:szCs w:val="20"/>
              </w:rPr>
            </w:r>
            <w:r>
              <w:rPr>
                <w:sz w:val="20"/>
                <w:szCs w:val="20"/>
              </w:rPr>
            </w:r>
          </w:p>
        </w:tc>
        <w:tc>
          <w:tcPr>
            <w:tcW w:w="450" w:type="dxa"/>
            <w:textDirection w:val="lrTb"/>
            <w:noWrap w:val="false"/>
          </w:tcPr>
          <w:p>
            <w:pPr>
              <w:widowControl w:val="off"/>
              <w:rPr>
                <w:sz w:val="20"/>
                <w:szCs w:val="20"/>
              </w:rPr>
            </w:pPr>
            <w:r>
              <w:rPr>
                <w:sz w:val="20"/>
                <w:szCs w:val="20"/>
              </w:rPr>
            </w:r>
            <w:r>
              <w:rPr>
                <w:sz w:val="20"/>
                <w:szCs w:val="20"/>
              </w:rPr>
            </w:r>
          </w:p>
        </w:tc>
        <w:tc>
          <w:tcPr>
            <w:tcW w:w="1398" w:type="dxa"/>
            <w:textDirection w:val="lrTb"/>
            <w:noWrap w:val="false"/>
          </w:tcPr>
          <w:p>
            <w:pP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5"/>
            <w:tcBorders>
              <w:right w:val="single" w:color="000000" w:sz="6" w:space="0"/>
            </w:tcBorders>
            <w:tcW w:w="4051" w:type="dxa"/>
            <w:textDirection w:val="lrTb"/>
            <w:noWrap w:val="false"/>
          </w:tcPr>
          <w:p>
            <w:pPr>
              <w:ind w:right="136"/>
              <w:jc w:val="right"/>
              <w:widowControl w:val="off"/>
              <w:rPr>
                <w:sz w:val="20"/>
                <w:szCs w:val="20"/>
              </w:rPr>
            </w:pPr>
            <w:r>
              <w:rPr>
                <w:sz w:val="20"/>
                <w:szCs w:val="20"/>
              </w:rPr>
              <w:t xml:space="preserve">Дата выдачи</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5"/>
            <w:tcBorders>
              <w:right w:val="single" w:color="000000" w:sz="6" w:space="0"/>
            </w:tcBorders>
            <w:tcW w:w="4051" w:type="dxa"/>
            <w:textDirection w:val="lrTb"/>
            <w:noWrap w:val="false"/>
          </w:tcPr>
          <w:p>
            <w:pPr>
              <w:ind w:right="136"/>
              <w:jc w:val="right"/>
              <w:widowControl w:val="off"/>
              <w:rPr>
                <w:sz w:val="20"/>
                <w:szCs w:val="20"/>
              </w:rPr>
            </w:pPr>
            <w:r>
              <w:rPr>
                <w:sz w:val="20"/>
                <w:szCs w:val="20"/>
              </w:rPr>
              <w:t xml:space="preserve">Номер независимой гарантии</w:t>
            </w:r>
            <w:r>
              <w:rPr>
                <w:sz w:val="20"/>
                <w:szCs w:val="20"/>
                <w:vertAlign w:val="superscript"/>
              </w:rPr>
              <w:t xml:space="preserve">1</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gridSpan w:val="7"/>
            <w:tcW w:w="9497" w:type="dxa"/>
            <w:textDirection w:val="lrTb"/>
            <w:noWrap w:val="false"/>
          </w:tcPr>
          <w:p>
            <w:pPr>
              <w:jc w:val="center"/>
              <w:widowControl w:val="off"/>
              <w:rPr>
                <w:sz w:val="20"/>
                <w:szCs w:val="20"/>
              </w:rPr>
            </w:pPr>
            <w:r>
              <w:rPr>
                <w:sz w:val="20"/>
                <w:szCs w:val="20"/>
              </w:rPr>
              <w:t xml:space="preserve">Информация о гаранте, принципале, бенефициаре</w:t>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widowControl w:val="off"/>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t xml:space="preserve">Коды</w:t>
            </w:r>
            <w:r>
              <w:rPr>
                <w:sz w:val="20"/>
                <w:szCs w:val="20"/>
              </w:rPr>
            </w:r>
          </w:p>
        </w:tc>
      </w:tr>
      <w:tr>
        <w:tblPrEx/>
        <w:trPr/>
        <w:tc>
          <w:tcPr>
            <w:tcW w:w="4048" w:type="dxa"/>
            <w:textDirection w:val="lrTb"/>
            <w:noWrap w:val="false"/>
          </w:tcPr>
          <w:p>
            <w:pPr>
              <w:widowControl w:val="off"/>
              <w:rPr>
                <w:sz w:val="20"/>
                <w:szCs w:val="20"/>
              </w:rPr>
            </w:pPr>
            <w:r>
              <w:rPr>
                <w:sz w:val="20"/>
                <w:szCs w:val="20"/>
              </w:rPr>
              <w:t xml:space="preserve">Полное наименование гаранта</w:t>
            </w:r>
            <w:r>
              <w:rPr>
                <w:sz w:val="20"/>
                <w:szCs w:val="20"/>
              </w:rPr>
            </w:r>
          </w:p>
        </w:tc>
        <w:tc>
          <w:tcPr>
            <w:gridSpan w:val="3"/>
            <w:tcBorders>
              <w:bottom w:val="single" w:color="000000" w:sz="6" w:space="0"/>
            </w:tcBorders>
            <w:tcW w:w="2706" w:type="dxa"/>
            <w:vMerge w:val="restart"/>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ИНН</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Borders>
              <w:bottom w:val="single" w:color="000000" w:sz="6" w:space="0"/>
            </w:tcBorders>
            <w:tcMar>
              <w:left w:w="90" w:type="dxa"/>
              <w:top w:w="0" w:type="dxa"/>
              <w:right w:w="90" w:type="dxa"/>
              <w:bottom w:w="0" w:type="dxa"/>
            </w:tcMar>
            <w:tcW w:w="2706" w:type="dxa"/>
            <w:vAlign w:val="center"/>
            <w:vMerge w:val="continue"/>
            <w:textDirection w:val="lrTb"/>
            <w:noWrap w:val="false"/>
          </w:tcPr>
          <w:p>
            <w:pPr>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КПП</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Borders>
              <w:bottom w:val="single" w:color="000000" w:sz="6" w:space="0"/>
            </w:tcBorders>
            <w:tcMar>
              <w:left w:w="90" w:type="dxa"/>
              <w:top w:w="0" w:type="dxa"/>
              <w:right w:w="90" w:type="dxa"/>
              <w:bottom w:w="0" w:type="dxa"/>
            </w:tcMar>
            <w:tcW w:w="2706" w:type="dxa"/>
            <w:vAlign w:val="center"/>
            <w:vMerge w:val="continue"/>
            <w:textDirection w:val="lrTb"/>
            <w:noWrap w:val="false"/>
          </w:tcPr>
          <w:p>
            <w:pPr>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БИК</w:t>
            </w:r>
            <w:r>
              <w:rPr>
                <w:sz w:val="20"/>
                <w:szCs w:val="20"/>
                <w:vertAlign w:val="superscript"/>
              </w:rPr>
              <w:t xml:space="preserve">1</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t xml:space="preserve">Идентификационный код гаранта</w:t>
            </w:r>
            <w:r>
              <w:rPr>
                <w:sz w:val="20"/>
                <w:szCs w:val="20"/>
              </w:rPr>
            </w:r>
          </w:p>
        </w:tc>
        <w:tc>
          <w:tcPr>
            <w:gridSpan w:val="3"/>
            <w:tcBorders>
              <w:top w:val="single" w:color="000000" w:sz="6" w:space="0"/>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widowControl w:val="off"/>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t xml:space="preserve">-</w:t>
            </w:r>
            <w:r>
              <w:rPr>
                <w:sz w:val="20"/>
                <w:szCs w:val="20"/>
              </w:rPr>
            </w:r>
          </w:p>
        </w:tc>
      </w:tr>
      <w:tr>
        <w:tblPrEx/>
        <w:trPr/>
        <w:tc>
          <w:tcPr>
            <w:tcW w:w="4048" w:type="dxa"/>
            <w:textDirection w:val="lrTb"/>
            <w:noWrap w:val="false"/>
          </w:tcPr>
          <w:p>
            <w:pPr>
              <w:widowControl w:val="off"/>
              <w:rPr>
                <w:sz w:val="20"/>
                <w:szCs w:val="20"/>
              </w:rPr>
            </w:pPr>
            <w:r>
              <w:rPr>
                <w:sz w:val="20"/>
                <w:szCs w:val="20"/>
              </w:rPr>
              <w:t xml:space="preserve">Место нахождения, телефон, адрес электронной почты гаранта</w:t>
            </w:r>
            <w:r>
              <w:rPr>
                <w:sz w:val="20"/>
                <w:szCs w:val="20"/>
              </w:rPr>
            </w:r>
          </w:p>
        </w:tc>
        <w:tc>
          <w:tcPr>
            <w:gridSpan w:val="3"/>
            <w:tcBorders>
              <w:top w:val="single" w:color="000000" w:sz="6" w:space="0"/>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по ОКТМО</w:t>
            </w:r>
            <w:r>
              <w:rPr>
                <w:sz w:val="20"/>
                <w:szCs w:val="20"/>
                <w:vertAlign w:val="superscript"/>
              </w:rPr>
              <w:t xml:space="preserve">1</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Borders>
              <w:top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W w:w="1345" w:type="dxa"/>
            <w:textDirection w:val="lrTb"/>
            <w:noWrap w:val="false"/>
          </w:tcPr>
          <w:p>
            <w:pPr>
              <w:widowControl w:val="off"/>
              <w:rPr>
                <w:sz w:val="20"/>
                <w:szCs w:val="20"/>
              </w:rPr>
            </w:pPr>
            <w:r>
              <w:rPr>
                <w:sz w:val="20"/>
                <w:szCs w:val="20"/>
              </w:rPr>
            </w:r>
            <w:r>
              <w:rPr>
                <w:sz w:val="20"/>
                <w:szCs w:val="20"/>
              </w:rPr>
            </w:r>
          </w:p>
        </w:tc>
        <w:tc>
          <w:tcPr>
            <w:tcBorders>
              <w:top w:val="single" w:color="000000" w:sz="6" w:space="0"/>
              <w:bottom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t xml:space="preserve">Полное наименование принципала</w:t>
            </w:r>
            <w:r>
              <w:rPr>
                <w:sz w:val="20"/>
                <w:szCs w:val="20"/>
              </w:rPr>
            </w:r>
          </w:p>
        </w:tc>
        <w:tc>
          <w:tcPr>
            <w:gridSpan w:val="3"/>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ИНН</w:t>
            </w:r>
            <w:r>
              <w:rPr>
                <w:sz w:val="20"/>
                <w:szCs w:val="20"/>
                <w:vertAlign w:val="superscript"/>
              </w:rPr>
              <w:t xml:space="preserve">2</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Borders>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КПП</w:t>
            </w:r>
            <w:r>
              <w:rPr>
                <w:sz w:val="20"/>
                <w:szCs w:val="20"/>
                <w:vertAlign w:val="superscript"/>
              </w:rPr>
              <w:t xml:space="preserve">3</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t xml:space="preserve">Место нахождения, телефон, адрес электронной почты принципала</w:t>
            </w:r>
            <w:r>
              <w:rPr>
                <w:sz w:val="20"/>
                <w:szCs w:val="20"/>
              </w:rPr>
            </w:r>
          </w:p>
        </w:tc>
        <w:tc>
          <w:tcPr>
            <w:gridSpan w:val="3"/>
            <w:tcBorders>
              <w:top w:val="single" w:color="000000" w:sz="6" w:space="0"/>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по</w:t>
            </w:r>
            <w:r>
              <w:rPr>
                <w:sz w:val="20"/>
                <w:szCs w:val="20"/>
              </w:rPr>
            </w:r>
          </w:p>
          <w:p>
            <w:pPr>
              <w:ind w:right="136"/>
              <w:jc w:val="right"/>
              <w:widowControl w:val="off"/>
              <w:rPr>
                <w:sz w:val="20"/>
                <w:szCs w:val="20"/>
              </w:rPr>
            </w:pPr>
            <w:r>
              <w:rPr>
                <w:sz w:val="20"/>
                <w:szCs w:val="20"/>
              </w:rPr>
              <w:t xml:space="preserve">ОКТМО</w:t>
            </w:r>
            <w:r>
              <w:rPr>
                <w:sz w:val="20"/>
                <w:szCs w:val="20"/>
                <w:vertAlign w:val="superscript"/>
              </w:rPr>
              <w:t xml:space="preserve">1</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jc w:val="cente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t xml:space="preserve">Полное наименование бенефициара</w:t>
            </w:r>
            <w:r>
              <w:rPr>
                <w:sz w:val="20"/>
                <w:szCs w:val="20"/>
              </w:rPr>
            </w:r>
          </w:p>
        </w:tc>
        <w:tc>
          <w:tcPr>
            <w:gridSpan w:val="3"/>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ИНН</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r>
            <w:r>
              <w:rPr>
                <w:sz w:val="20"/>
                <w:szCs w:val="20"/>
              </w:rPr>
            </w:r>
          </w:p>
        </w:tc>
        <w:tc>
          <w:tcPr>
            <w:gridSpan w:val="3"/>
            <w:tcBorders>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ind w:right="136"/>
              <w:jc w:val="right"/>
              <w:widowControl w:val="off"/>
              <w:rPr>
                <w:sz w:val="20"/>
                <w:szCs w:val="20"/>
              </w:rPr>
            </w:pPr>
            <w:r>
              <w:rPr>
                <w:sz w:val="20"/>
                <w:szCs w:val="20"/>
              </w:rPr>
              <w:t xml:space="preserve">КПП</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widowControl w:val="off"/>
              <w:rPr>
                <w:sz w:val="20"/>
                <w:szCs w:val="20"/>
              </w:rPr>
            </w:pPr>
            <w:r>
              <w:rPr>
                <w:sz w:val="20"/>
                <w:szCs w:val="20"/>
              </w:rPr>
            </w:r>
            <w:r>
              <w:rPr>
                <w:sz w:val="20"/>
                <w:szCs w:val="20"/>
              </w:rPr>
            </w:r>
          </w:p>
        </w:tc>
      </w:tr>
      <w:tr>
        <w:tblPrEx/>
        <w:trPr/>
        <w:tc>
          <w:tcPr>
            <w:tcW w:w="4048" w:type="dxa"/>
            <w:textDirection w:val="lrTb"/>
            <w:noWrap w:val="false"/>
          </w:tcPr>
          <w:p>
            <w:pPr>
              <w:widowControl w:val="off"/>
              <w:rPr>
                <w:sz w:val="20"/>
                <w:szCs w:val="20"/>
              </w:rPr>
            </w:pPr>
            <w:r>
              <w:rPr>
                <w:sz w:val="20"/>
                <w:szCs w:val="20"/>
              </w:rPr>
              <w:t xml:space="preserve">Место нахождения, телефон, адрес электронной почты бенефициара</w:t>
            </w:r>
            <w:r>
              <w:rPr>
                <w:sz w:val="20"/>
                <w:szCs w:val="20"/>
              </w:rPr>
            </w:r>
          </w:p>
        </w:tc>
        <w:tc>
          <w:tcPr>
            <w:gridSpan w:val="3"/>
            <w:tcBorders>
              <w:top w:val="single" w:color="000000" w:sz="6" w:space="0"/>
              <w:bottom w:val="single" w:color="000000" w:sz="6" w:space="0"/>
            </w:tcBorders>
            <w:tcW w:w="2706"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345" w:type="dxa"/>
            <w:textDirection w:val="lrTb"/>
            <w:noWrap w:val="false"/>
          </w:tcPr>
          <w:p>
            <w:pPr>
              <w:jc w:val="right"/>
              <w:widowControl w:val="off"/>
              <w:rPr>
                <w:sz w:val="20"/>
                <w:szCs w:val="20"/>
              </w:rPr>
            </w:pPr>
            <w:r>
              <w:rPr>
                <w:sz w:val="20"/>
                <w:szCs w:val="20"/>
              </w:rPr>
            </w:r>
            <w:r>
              <w:rPr>
                <w:sz w:val="20"/>
                <w:szCs w:val="20"/>
              </w:rPr>
            </w:r>
          </w:p>
          <w:p>
            <w:pPr>
              <w:ind w:right="136"/>
              <w:jc w:val="right"/>
              <w:widowControl w:val="off"/>
              <w:rPr>
                <w:sz w:val="20"/>
                <w:szCs w:val="20"/>
              </w:rPr>
            </w:pPr>
            <w:r>
              <w:rPr>
                <w:sz w:val="20"/>
                <w:szCs w:val="20"/>
              </w:rPr>
              <w:t xml:space="preserve">по ОКТМО</w:t>
            </w:r>
            <w:r>
              <w:rPr>
                <w:sz w:val="20"/>
                <w:szCs w:val="20"/>
              </w:rPr>
            </w:r>
          </w:p>
        </w:tc>
        <w:tc>
          <w:tcPr>
            <w:tcBorders>
              <w:top w:val="single" w:color="000000" w:sz="6" w:space="0"/>
              <w:left w:val="single" w:color="000000" w:sz="6" w:space="0"/>
              <w:bottom w:val="single" w:color="000000" w:sz="6" w:space="0"/>
              <w:right w:val="single" w:color="000000" w:sz="6" w:space="0"/>
            </w:tcBorders>
            <w:tcW w:w="1398" w:type="dxa"/>
            <w:textDirection w:val="lrTb"/>
            <w:noWrap w:val="false"/>
          </w:tcPr>
          <w:p>
            <w:pPr>
              <w:widowControl w:val="off"/>
              <w:rPr>
                <w:sz w:val="20"/>
                <w:szCs w:val="20"/>
              </w:rPr>
            </w:pPr>
            <w:r>
              <w:rPr>
                <w:sz w:val="20"/>
                <w:szCs w:val="20"/>
              </w:rPr>
            </w:r>
            <w:r>
              <w:rPr>
                <w:sz w:val="20"/>
                <w:szCs w:val="20"/>
              </w:rPr>
            </w:r>
          </w:p>
        </w:tc>
      </w:tr>
      <w:tr>
        <w:tblPrEx/>
        <w:trPr/>
        <w:tc>
          <w:tcPr>
            <w:gridSpan w:val="7"/>
            <w:tcW w:w="9497" w:type="dxa"/>
            <w:textDirection w:val="lrTb"/>
            <w:noWrap w:val="false"/>
          </w:tcPr>
          <w:p>
            <w:pPr>
              <w:jc w:val="center"/>
              <w:widowControl w:val="off"/>
              <w:rPr>
                <w:sz w:val="20"/>
                <w:szCs w:val="20"/>
              </w:rPr>
            </w:pPr>
            <w:r>
              <w:rPr>
                <w:sz w:val="20"/>
                <w:szCs w:val="20"/>
              </w:rPr>
              <w:t xml:space="preserve">Информация о конкурентной закупке, для обеспечения заявки на участие в которой предоставляется независимая гарантия</w:t>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Номер извещения об осуществлении конкурентной закупки</w:t>
            </w:r>
            <w:r>
              <w:rPr>
                <w:sz w:val="20"/>
                <w:szCs w:val="20"/>
                <w:vertAlign w:val="superscript"/>
              </w:rPr>
              <w:t xml:space="preserve">1</w:t>
            </w:r>
            <w:r>
              <w:rPr>
                <w:sz w:val="20"/>
                <w:szCs w:val="20"/>
              </w:rPr>
            </w:r>
          </w:p>
        </w:tc>
        <w:tc>
          <w:tcPr>
            <w:tcBorders>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W w:w="1500" w:type="dxa"/>
            <w:textDirection w:val="lrTb"/>
            <w:noWrap w:val="false"/>
          </w:tcPr>
          <w:p>
            <w:pPr>
              <w:widowControl w:val="off"/>
              <w:rPr>
                <w:sz w:val="20"/>
                <w:szCs w:val="20"/>
              </w:rPr>
            </w:pPr>
            <w:r>
              <w:rPr>
                <w:sz w:val="20"/>
                <w:szCs w:val="20"/>
              </w:rPr>
            </w:r>
            <w:r>
              <w:rPr>
                <w:sz w:val="20"/>
                <w:szCs w:val="20"/>
              </w:rPr>
            </w:r>
          </w:p>
        </w:tc>
        <w:tc>
          <w:tcPr>
            <w:gridSpan w:val="2"/>
            <w:tcW w:w="1848" w:type="dxa"/>
            <w:textDirection w:val="lrTb"/>
            <w:noWrap w:val="false"/>
          </w:tcPr>
          <w:p>
            <w:pPr>
              <w:widowControl w:val="off"/>
              <w:rPr>
                <w:sz w:val="20"/>
                <w:szCs w:val="20"/>
              </w:rPr>
            </w:pPr>
            <w:r>
              <w:rPr>
                <w:sz w:val="20"/>
                <w:szCs w:val="20"/>
              </w:rPr>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Предмет договора</w:t>
            </w:r>
            <w:r>
              <w:rPr>
                <w:sz w:val="20"/>
                <w:szCs w:val="20"/>
                <w:vertAlign w:val="superscript"/>
              </w:rPr>
              <w:t xml:space="preserve">4</w:t>
            </w:r>
            <w:r>
              <w:rPr>
                <w:sz w:val="20"/>
                <w:szCs w:val="20"/>
              </w:rPr>
            </w:r>
          </w:p>
        </w:tc>
        <w:tc>
          <w:tcPr>
            <w:tcBorders>
              <w:top w:val="single" w:color="000000" w:sz="6" w:space="0"/>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W w:w="1500" w:type="dxa"/>
            <w:textDirection w:val="lrTb"/>
            <w:noWrap w:val="false"/>
          </w:tcPr>
          <w:p>
            <w:pPr>
              <w:widowControl w:val="off"/>
              <w:rPr>
                <w:sz w:val="20"/>
                <w:szCs w:val="20"/>
              </w:rPr>
            </w:pPr>
            <w:r>
              <w:rPr>
                <w:sz w:val="20"/>
                <w:szCs w:val="20"/>
              </w:rPr>
            </w:r>
            <w:r>
              <w:rPr>
                <w:sz w:val="20"/>
                <w:szCs w:val="20"/>
              </w:rPr>
            </w:r>
          </w:p>
        </w:tc>
        <w:tc>
          <w:tcPr>
            <w:gridSpan w:val="2"/>
            <w:tcW w:w="1848" w:type="dxa"/>
            <w:textDirection w:val="lrTb"/>
            <w:noWrap w:val="false"/>
          </w:tcPr>
          <w:p>
            <w:pPr>
              <w:widowControl w:val="off"/>
              <w:rPr>
                <w:sz w:val="20"/>
                <w:szCs w:val="20"/>
              </w:rPr>
            </w:pPr>
            <w:r>
              <w:rPr>
                <w:sz w:val="20"/>
                <w:szCs w:val="20"/>
              </w:rPr>
            </w:r>
            <w:r>
              <w:rPr>
                <w:sz w:val="20"/>
                <w:szCs w:val="20"/>
              </w:rPr>
            </w:r>
          </w:p>
        </w:tc>
      </w:tr>
      <w:tr>
        <w:tblPrEx/>
        <w:trPr/>
        <w:tc>
          <w:tcPr>
            <w:gridSpan w:val="7"/>
            <w:tcW w:w="9497" w:type="dxa"/>
            <w:textDirection w:val="lrTb"/>
            <w:noWrap w:val="false"/>
          </w:tcPr>
          <w:p>
            <w:pPr>
              <w:jc w:val="center"/>
              <w:widowControl w:val="off"/>
              <w:rPr>
                <w:sz w:val="20"/>
                <w:szCs w:val="20"/>
              </w:rPr>
            </w:pPr>
            <w:r>
              <w:rPr>
                <w:sz w:val="20"/>
                <w:szCs w:val="20"/>
              </w:rPr>
              <w:t xml:space="preserve">Условия независимой гарантии</w:t>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Сумма независимой гарантии, подлежащая уплате гарантом бенефициару (далее - сумма независимой гарантии)</w:t>
            </w:r>
            <w:r>
              <w:rPr>
                <w:sz w:val="20"/>
                <w:szCs w:val="20"/>
              </w:rPr>
            </w:r>
          </w:p>
        </w:tc>
        <w:tc>
          <w:tcPr>
            <w:tcBorders>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W w:w="1500" w:type="dxa"/>
            <w:textDirection w:val="lrTb"/>
            <w:noWrap w:val="false"/>
          </w:tcPr>
          <w:p>
            <w:pPr>
              <w:widowControl w:val="off"/>
              <w:rPr>
                <w:sz w:val="20"/>
                <w:szCs w:val="20"/>
              </w:rPr>
            </w:pPr>
            <w:r>
              <w:rPr>
                <w:sz w:val="20"/>
                <w:szCs w:val="20"/>
              </w:rPr>
            </w:r>
            <w:r>
              <w:rPr>
                <w:sz w:val="20"/>
                <w:szCs w:val="20"/>
              </w:rPr>
            </w:r>
          </w:p>
        </w:tc>
        <w:tc>
          <w:tcPr>
            <w:gridSpan w:val="2"/>
            <w:tcBorders>
              <w:bottom w:val="single" w:color="000000" w:sz="6" w:space="0"/>
            </w:tcBorders>
            <w:tcW w:w="1848" w:type="dxa"/>
            <w:textDirection w:val="lrTb"/>
            <w:noWrap w:val="false"/>
          </w:tcPr>
          <w:p>
            <w:pPr>
              <w:widowControl w:val="off"/>
              <w:rPr>
                <w:sz w:val="20"/>
                <w:szCs w:val="20"/>
              </w:rPr>
            </w:pPr>
            <w:r>
              <w:rPr>
                <w:sz w:val="20"/>
                <w:szCs w:val="20"/>
              </w:rPr>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Наименование валюты</w:t>
            </w:r>
            <w:r>
              <w:rPr>
                <w:sz w:val="20"/>
                <w:szCs w:val="20"/>
              </w:rPr>
            </w:r>
          </w:p>
        </w:tc>
        <w:tc>
          <w:tcPr>
            <w:tcBorders>
              <w:top w:val="single" w:color="000000" w:sz="6" w:space="0"/>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Borders>
              <w:right w:val="single" w:color="000000" w:sz="6" w:space="0"/>
            </w:tcBorders>
            <w:tcW w:w="1500" w:type="dxa"/>
            <w:textDirection w:val="lrTb"/>
            <w:noWrap w:val="false"/>
          </w:tcPr>
          <w:p>
            <w:pPr>
              <w:ind w:right="116"/>
              <w:jc w:val="right"/>
              <w:widowControl w:val="off"/>
              <w:rPr>
                <w:sz w:val="20"/>
                <w:szCs w:val="20"/>
              </w:rPr>
            </w:pPr>
            <w:r>
              <w:rPr>
                <w:sz w:val="20"/>
                <w:szCs w:val="20"/>
              </w:rPr>
              <w:t xml:space="preserve">по ОКВ</w:t>
            </w:r>
            <w:r>
              <w:rPr>
                <w:sz w:val="20"/>
                <w:szCs w:val="20"/>
              </w:rPr>
            </w:r>
          </w:p>
        </w:tc>
        <w:tc>
          <w:tcPr>
            <w:gridSpan w:val="2"/>
            <w:tcBorders>
              <w:top w:val="single" w:color="000000" w:sz="6" w:space="0"/>
              <w:left w:val="single" w:color="000000" w:sz="6" w:space="0"/>
              <w:bottom w:val="single" w:color="000000" w:sz="6" w:space="0"/>
              <w:right w:val="single" w:color="000000" w:sz="6" w:space="0"/>
            </w:tcBorders>
            <w:tcW w:w="1848" w:type="dxa"/>
            <w:textDirection w:val="lrTb"/>
            <w:noWrap w:val="false"/>
          </w:tcPr>
          <w:p>
            <w:pPr>
              <w:widowControl w:val="off"/>
              <w:rPr>
                <w:sz w:val="20"/>
                <w:szCs w:val="20"/>
              </w:rPr>
            </w:pPr>
            <w:r>
              <w:rPr>
                <w:sz w:val="20"/>
                <w:szCs w:val="20"/>
              </w:rPr>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Срок вступления независимой гарантии в силу</w:t>
            </w:r>
            <w:r>
              <w:rPr>
                <w:sz w:val="20"/>
                <w:szCs w:val="20"/>
                <w:vertAlign w:val="superscript"/>
              </w:rPr>
              <w:t xml:space="preserve">5</w:t>
            </w:r>
            <w:r>
              <w:rPr>
                <w:sz w:val="20"/>
                <w:szCs w:val="20"/>
              </w:rPr>
            </w:r>
          </w:p>
        </w:tc>
        <w:tc>
          <w:tcPr>
            <w:tcBorders>
              <w:top w:val="single" w:color="000000" w:sz="6" w:space="0"/>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W w:w="1500" w:type="dxa"/>
            <w:textDirection w:val="lrTb"/>
            <w:noWrap w:val="false"/>
          </w:tcPr>
          <w:p>
            <w:pPr>
              <w:widowControl w:val="off"/>
              <w:rPr>
                <w:sz w:val="20"/>
                <w:szCs w:val="20"/>
              </w:rPr>
            </w:pPr>
            <w:r>
              <w:rPr>
                <w:sz w:val="20"/>
                <w:szCs w:val="20"/>
              </w:rPr>
            </w:r>
            <w:r>
              <w:rPr>
                <w:sz w:val="20"/>
                <w:szCs w:val="20"/>
              </w:rPr>
            </w:r>
          </w:p>
        </w:tc>
        <w:tc>
          <w:tcPr>
            <w:gridSpan w:val="2"/>
            <w:tcBorders>
              <w:top w:val="single" w:color="000000" w:sz="6" w:space="0"/>
            </w:tcBorders>
            <w:tcW w:w="1848" w:type="dxa"/>
            <w:textDirection w:val="lrTb"/>
            <w:noWrap w:val="false"/>
          </w:tcPr>
          <w:p>
            <w:pPr>
              <w:widowControl w:val="off"/>
              <w:rPr>
                <w:sz w:val="20"/>
                <w:szCs w:val="20"/>
              </w:rPr>
            </w:pPr>
            <w:r>
              <w:rPr>
                <w:sz w:val="20"/>
                <w:szCs w:val="20"/>
              </w:rPr>
            </w:r>
            <w:r>
              <w:rPr>
                <w:sz w:val="20"/>
                <w:szCs w:val="20"/>
              </w:rPr>
            </w:r>
          </w:p>
        </w:tc>
      </w:tr>
      <w:tr>
        <w:tblPrEx/>
        <w:trPr/>
        <w:tc>
          <w:tcPr>
            <w:gridSpan w:val="2"/>
            <w:tcW w:w="4351" w:type="dxa"/>
            <w:textDirection w:val="lrTb"/>
            <w:noWrap w:val="false"/>
          </w:tcPr>
          <w:p>
            <w:pPr>
              <w:widowControl w:val="off"/>
              <w:rPr>
                <w:sz w:val="20"/>
                <w:szCs w:val="20"/>
              </w:rPr>
            </w:pPr>
            <w:r>
              <w:rPr>
                <w:sz w:val="20"/>
                <w:szCs w:val="20"/>
              </w:rPr>
              <w:t xml:space="preserve">Срок действия </w:t>
            </w:r>
            <w:r>
              <w:rPr>
                <w:sz w:val="20"/>
                <w:szCs w:val="20"/>
              </w:rPr>
              <w:t xml:space="preserve">независимой</w:t>
            </w:r>
            <w:r>
              <w:rPr>
                <w:sz w:val="20"/>
                <w:szCs w:val="20"/>
              </w:rPr>
              <w:t xml:space="preserve"> гарантии</w:t>
            </w:r>
            <w:r>
              <w:rPr>
                <w:sz w:val="20"/>
                <w:szCs w:val="20"/>
                <w:vertAlign w:val="superscript"/>
              </w:rPr>
              <w:t xml:space="preserve">5</w:t>
            </w:r>
            <w:r>
              <w:rPr>
                <w:sz w:val="20"/>
                <w:szCs w:val="20"/>
              </w:rPr>
            </w:r>
          </w:p>
        </w:tc>
        <w:tc>
          <w:tcPr>
            <w:tcBorders>
              <w:top w:val="single" w:color="000000" w:sz="6" w:space="0"/>
              <w:bottom w:val="single" w:color="000000" w:sz="6" w:space="0"/>
            </w:tcBorders>
            <w:tcW w:w="1798" w:type="dxa"/>
            <w:textDirection w:val="lrTb"/>
            <w:noWrap w:val="false"/>
          </w:tcPr>
          <w:p>
            <w:pPr>
              <w:widowControl w:val="off"/>
              <w:rPr>
                <w:sz w:val="20"/>
                <w:szCs w:val="20"/>
              </w:rPr>
            </w:pPr>
            <w:r>
              <w:rPr>
                <w:sz w:val="20"/>
                <w:szCs w:val="20"/>
              </w:rPr>
            </w:r>
            <w:r>
              <w:rPr>
                <w:sz w:val="20"/>
                <w:szCs w:val="20"/>
              </w:rPr>
            </w:r>
          </w:p>
        </w:tc>
        <w:tc>
          <w:tcPr>
            <w:gridSpan w:val="2"/>
            <w:tcW w:w="1500" w:type="dxa"/>
            <w:textDirection w:val="lrTb"/>
            <w:noWrap w:val="false"/>
          </w:tcPr>
          <w:p>
            <w:pPr>
              <w:widowControl w:val="off"/>
              <w:rPr>
                <w:sz w:val="20"/>
                <w:szCs w:val="20"/>
              </w:rPr>
            </w:pPr>
            <w:r>
              <w:rPr>
                <w:sz w:val="20"/>
                <w:szCs w:val="20"/>
              </w:rPr>
            </w:r>
            <w:r>
              <w:rPr>
                <w:sz w:val="20"/>
                <w:szCs w:val="20"/>
              </w:rPr>
            </w:r>
          </w:p>
        </w:tc>
        <w:tc>
          <w:tcPr>
            <w:gridSpan w:val="2"/>
            <w:tcW w:w="1848" w:type="dxa"/>
            <w:textDirection w:val="lrTb"/>
            <w:noWrap w:val="false"/>
          </w:tcPr>
          <w:p>
            <w:pPr>
              <w:widowControl w:val="off"/>
              <w:rPr>
                <w:sz w:val="20"/>
                <w:szCs w:val="20"/>
              </w:rPr>
            </w:pPr>
            <w:r>
              <w:rPr>
                <w:sz w:val="20"/>
                <w:szCs w:val="20"/>
              </w:rPr>
            </w:r>
            <w:r>
              <w:rPr>
                <w:sz w:val="20"/>
                <w:szCs w:val="20"/>
              </w:rPr>
            </w:r>
          </w:p>
        </w:tc>
      </w:tr>
    </w:tbl>
    <w:p>
      <w:pPr>
        <w:widowControl w:val="off"/>
        <w:rPr>
          <w:sz w:val="22"/>
          <w:szCs w:val="22"/>
        </w:rPr>
      </w:pPr>
      <w:r>
        <w:rPr>
          <w:sz w:val="22"/>
          <w:szCs w:val="22"/>
        </w:rPr>
      </w:r>
      <w:r>
        <w:rPr>
          <w:sz w:val="22"/>
          <w:szCs w:val="22"/>
        </w:rPr>
      </w:r>
    </w:p>
    <w:p>
      <w:pPr>
        <w:widowControl w:val="off"/>
        <w:tabs>
          <w:tab w:val="left" w:pos="284" w:leader="none"/>
        </w:tabs>
        <w:rPr>
          <w:sz w:val="22"/>
          <w:szCs w:val="22"/>
        </w:rPr>
      </w:pPr>
      <w:r>
        <w:rPr>
          <w:sz w:val="22"/>
          <w:szCs w:val="22"/>
        </w:rPr>
        <w:t xml:space="preserve">1.</w:t>
      </w:r>
      <w:r>
        <w:rPr>
          <w:sz w:val="22"/>
          <w:szCs w:val="22"/>
        </w:rPr>
        <w:tab/>
      </w:r>
      <w:r>
        <w:rPr>
          <w:sz w:val="22"/>
          <w:szCs w:val="22"/>
        </w:rPr>
        <w:t xml:space="preserve">Настоящая независимая гарантия обеспечивает исполнение принципалом его обязательств по заключению договора по результатам определения поставщика (подрядчика, исполнителя) (в случае признания принципала в соответствии с Федеральным законом «О закупк</w:t>
      </w:r>
      <w:r>
        <w:rPr>
          <w:sz w:val="22"/>
          <w:szCs w:val="22"/>
        </w:rPr>
        <w:t xml:space="preserve">ах товаров, работ, услуг отдельными видами юридических лиц» (далее - Закон о закупках) и положением о закупке бенефициара победителем закупки или иным лицом, с которым по результатам определения поставщика (подрядчика, исполнителя) заключается договор), по</w:t>
      </w:r>
      <w:r>
        <w:rPr>
          <w:sz w:val="22"/>
          <w:szCs w:val="22"/>
        </w:rPr>
        <w:t xml:space="preserve"> предоставлению обеспечения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r>
        <w:rPr>
          <w:sz w:val="22"/>
          <w:szCs w:val="22"/>
        </w:rPr>
      </w:r>
    </w:p>
    <w:p>
      <w:pPr>
        <w:widowControl w:val="off"/>
        <w:tabs>
          <w:tab w:val="left" w:pos="284" w:leader="none"/>
        </w:tabs>
        <w:rPr>
          <w:sz w:val="22"/>
          <w:szCs w:val="22"/>
        </w:rPr>
      </w:pPr>
      <w:r>
        <w:rPr>
          <w:sz w:val="22"/>
          <w:szCs w:val="22"/>
        </w:rPr>
        <w:t xml:space="preserve">2.</w:t>
      </w:r>
      <w:r>
        <w:rPr>
          <w:sz w:val="22"/>
          <w:szCs w:val="22"/>
        </w:rPr>
        <w:tab/>
        <w:t xml:space="preserve">Настоящая независимая гарантия не может быть отозвана гарантом.</w:t>
      </w:r>
      <w:r>
        <w:rPr>
          <w:sz w:val="22"/>
          <w:szCs w:val="22"/>
        </w:rPr>
      </w:r>
    </w:p>
    <w:p>
      <w:pPr>
        <w:widowControl w:val="off"/>
        <w:tabs>
          <w:tab w:val="left" w:pos="284" w:leader="none"/>
        </w:tabs>
        <w:rPr>
          <w:sz w:val="22"/>
          <w:szCs w:val="22"/>
        </w:rPr>
      </w:pPr>
      <w:r>
        <w:rPr>
          <w:sz w:val="22"/>
          <w:szCs w:val="22"/>
        </w:rPr>
        <w:t xml:space="preserve">3.</w:t>
      </w:r>
      <w:r>
        <w:rPr>
          <w:sz w:val="22"/>
          <w:szCs w:val="22"/>
        </w:rPr>
        <w:tab/>
        <w:t xml:space="preserve">Бенефициар вправе до окончания срока действия настоящей независимой гарантии предъявить в р</w:t>
      </w:r>
      <w:r>
        <w:rPr>
          <w:sz w:val="22"/>
          <w:szCs w:val="22"/>
        </w:rPr>
        <w:t xml:space="preserve">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независимой гарантии (далее - требование) при наступлении хотя бы одного из следующих случаев:</w:t>
      </w:r>
      <w:r>
        <w:rPr>
          <w:sz w:val="22"/>
          <w:szCs w:val="22"/>
        </w:rPr>
      </w:r>
    </w:p>
    <w:p>
      <w:pPr>
        <w:widowControl w:val="off"/>
        <w:tabs>
          <w:tab w:val="left" w:pos="284" w:leader="none"/>
        </w:tabs>
        <w:rPr>
          <w:sz w:val="22"/>
          <w:szCs w:val="22"/>
        </w:rPr>
      </w:pPr>
      <w:r>
        <w:rPr>
          <w:sz w:val="22"/>
          <w:szCs w:val="22"/>
        </w:rPr>
        <w:t xml:space="preserve">а)</w:t>
      </w:r>
      <w:r>
        <w:rPr>
          <w:sz w:val="22"/>
          <w:szCs w:val="22"/>
        </w:rPr>
        <w:tab/>
        <w:t xml:space="preserve">принципал уклонился или отказался от заключения договора с бенефициаром;</w:t>
      </w:r>
      <w:r>
        <w:rPr>
          <w:sz w:val="22"/>
          <w:szCs w:val="22"/>
        </w:rPr>
      </w:r>
    </w:p>
    <w:p>
      <w:pPr>
        <w:widowControl w:val="off"/>
        <w:tabs>
          <w:tab w:val="left" w:pos="284" w:leader="none"/>
        </w:tabs>
        <w:rPr>
          <w:sz w:val="22"/>
          <w:szCs w:val="22"/>
        </w:rPr>
      </w:pPr>
      <w:r>
        <w:rPr>
          <w:sz w:val="22"/>
          <w:szCs w:val="22"/>
        </w:rPr>
        <w:t xml:space="preserve">б)</w:t>
      </w:r>
      <w:r>
        <w:rPr>
          <w:sz w:val="22"/>
          <w:szCs w:val="22"/>
        </w:rPr>
        <w:tab/>
        <w:t xml:space="preserve">принципал не предоставил или предоставил с нарушением условий, ус</w:t>
      </w:r>
      <w:r>
        <w:rPr>
          <w:sz w:val="22"/>
          <w:szCs w:val="22"/>
        </w:rPr>
        <w:t xml:space="preserve">тановленных Законом о закупках, положением о закупке бенефициара обеспечение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r>
        <w:rPr>
          <w:sz w:val="22"/>
          <w:szCs w:val="22"/>
        </w:rPr>
      </w:r>
    </w:p>
    <w:p>
      <w:pPr>
        <w:widowControl w:val="off"/>
        <w:tabs>
          <w:tab w:val="left" w:pos="284" w:leader="none"/>
        </w:tabs>
        <w:rPr>
          <w:sz w:val="22"/>
          <w:szCs w:val="22"/>
        </w:rPr>
      </w:pPr>
      <w:r>
        <w:rPr>
          <w:sz w:val="22"/>
          <w:szCs w:val="22"/>
        </w:rPr>
        <w:t xml:space="preserve">4.</w:t>
      </w:r>
      <w:r>
        <w:rPr>
          <w:sz w:val="22"/>
          <w:szCs w:val="22"/>
        </w:rPr>
        <w:tab/>
        <w:t xml:space="preserve">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r>
        <w:rPr>
          <w:sz w:val="22"/>
          <w:szCs w:val="22"/>
        </w:rPr>
      </w:r>
    </w:p>
    <w:p>
      <w:pPr>
        <w:widowControl w:val="off"/>
        <w:tabs>
          <w:tab w:val="left" w:pos="284" w:leader="none"/>
        </w:tabs>
        <w:rPr>
          <w:sz w:val="22"/>
          <w:szCs w:val="22"/>
        </w:rPr>
      </w:pPr>
      <w:r>
        <w:rPr>
          <w:sz w:val="22"/>
          <w:szCs w:val="22"/>
        </w:rPr>
        <w:t xml:space="preserve">5.</w:t>
      </w:r>
      <w:r>
        <w:rPr>
          <w:sz w:val="22"/>
          <w:szCs w:val="22"/>
        </w:rPr>
        <w:tab/>
        <w:t xml:space="preserve">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___________</w:t>
      </w:r>
      <w:r>
        <w:rPr>
          <w:sz w:val="22"/>
          <w:szCs w:val="22"/>
          <w:vertAlign w:val="superscript"/>
        </w:rPr>
        <w:t xml:space="preserve">6</w:t>
      </w:r>
      <w:r>
        <w:rPr>
          <w:sz w:val="22"/>
          <w:szCs w:val="22"/>
        </w:rPr>
        <w:t xml:space="preserve">.</w:t>
      </w:r>
      <w:r>
        <w:rPr>
          <w:sz w:val="22"/>
          <w:szCs w:val="22"/>
        </w:rPr>
      </w:r>
    </w:p>
    <w:p>
      <w:pPr>
        <w:widowControl w:val="off"/>
        <w:tabs>
          <w:tab w:val="left" w:pos="284" w:leader="none"/>
        </w:tabs>
        <w:rPr>
          <w:sz w:val="22"/>
          <w:szCs w:val="22"/>
        </w:rPr>
      </w:pPr>
      <w:r>
        <w:rPr>
          <w:sz w:val="22"/>
          <w:szCs w:val="22"/>
        </w:rPr>
        <w:t xml:space="preserve">6.</w:t>
      </w:r>
      <w:r>
        <w:rPr>
          <w:sz w:val="22"/>
          <w:szCs w:val="22"/>
        </w:rPr>
        <w:tab/>
        <w:t xml:space="preserve">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w:t>
      </w:r>
      <w:r>
        <w:rPr>
          <w:sz w:val="22"/>
          <w:szCs w:val="22"/>
          <w:vertAlign w:val="superscript"/>
        </w:rPr>
        <w:t xml:space="preserve">7</w:t>
      </w:r>
      <w:r>
        <w:rPr>
          <w:sz w:val="22"/>
          <w:szCs w:val="22"/>
        </w:rPr>
        <w:t xml:space="preserve">.</w:t>
      </w:r>
      <w:r>
        <w:rPr>
          <w:sz w:val="22"/>
          <w:szCs w:val="22"/>
        </w:rPr>
      </w:r>
    </w:p>
    <w:p>
      <w:pPr>
        <w:widowControl w:val="off"/>
        <w:tabs>
          <w:tab w:val="left" w:pos="284" w:leader="none"/>
        </w:tabs>
        <w:rPr>
          <w:sz w:val="22"/>
          <w:szCs w:val="22"/>
        </w:rPr>
      </w:pPr>
      <w:r>
        <w:rPr>
          <w:sz w:val="22"/>
          <w:szCs w:val="22"/>
        </w:rPr>
        <w:t xml:space="preserve">7.</w:t>
      </w:r>
      <w:r>
        <w:rPr>
          <w:sz w:val="22"/>
          <w:szCs w:val="22"/>
        </w:rPr>
        <w:tab/>
        <w:t xml:space="preserve">В случае направления требования бенефициар обязан одновременно с таким требованием направить гаранту:</w:t>
      </w:r>
      <w:r>
        <w:rPr>
          <w:sz w:val="22"/>
          <w:szCs w:val="22"/>
        </w:rPr>
      </w:r>
    </w:p>
    <w:p>
      <w:pPr>
        <w:widowControl w:val="off"/>
        <w:tabs>
          <w:tab w:val="left" w:pos="284" w:leader="none"/>
        </w:tabs>
        <w:rPr>
          <w:sz w:val="22"/>
          <w:szCs w:val="22"/>
        </w:rPr>
      </w:pPr>
      <w:r>
        <w:rPr>
          <w:sz w:val="22"/>
          <w:szCs w:val="22"/>
        </w:rPr>
        <w:t xml:space="preserve">а)</w:t>
      </w:r>
      <w:r>
        <w:rPr>
          <w:sz w:val="22"/>
          <w:szCs w:val="22"/>
        </w:rPr>
        <w:tab/>
        <w:t xml:space="preserve">документ, содержащий информацию о наступлении хотя бы одного из случаев, предусмотренных пунктом 3 настоящей нез</w:t>
      </w:r>
      <w:r>
        <w:rPr>
          <w:sz w:val="22"/>
          <w:szCs w:val="22"/>
        </w:rPr>
        <w:t xml:space="preserve">ависимой гарантии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бенефициара документ);</w:t>
      </w:r>
      <w:r>
        <w:rPr>
          <w:sz w:val="22"/>
          <w:szCs w:val="22"/>
        </w:rPr>
      </w:r>
    </w:p>
    <w:p>
      <w:pPr>
        <w:widowControl w:val="off"/>
        <w:tabs>
          <w:tab w:val="left" w:pos="284" w:leader="none"/>
        </w:tabs>
        <w:rPr>
          <w:sz w:val="22"/>
          <w:szCs w:val="22"/>
        </w:rPr>
      </w:pPr>
      <w:r>
        <w:rPr>
          <w:sz w:val="22"/>
          <w:szCs w:val="22"/>
        </w:rPr>
        <w:t xml:space="preserve">б)</w:t>
      </w:r>
      <w:r>
        <w:rPr>
          <w:sz w:val="22"/>
          <w:szCs w:val="22"/>
        </w:rPr>
        <w:tab/>
        <w:t xml:space="preserve">документ, подтверждающий полномочия лица, подписавшего требование по независимой г</w:t>
      </w:r>
      <w:r>
        <w:rPr>
          <w:sz w:val="22"/>
          <w:szCs w:val="22"/>
        </w:rPr>
        <w:t xml:space="preserve">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r>
        <w:rPr>
          <w:sz w:val="22"/>
          <w:szCs w:val="22"/>
        </w:rPr>
      </w:r>
    </w:p>
    <w:p>
      <w:pPr>
        <w:widowControl w:val="off"/>
        <w:tabs>
          <w:tab w:val="left" w:pos="284" w:leader="none"/>
        </w:tabs>
        <w:rPr>
          <w:sz w:val="22"/>
          <w:szCs w:val="22"/>
        </w:rPr>
      </w:pPr>
      <w:r>
        <w:rPr>
          <w:sz w:val="22"/>
          <w:szCs w:val="22"/>
        </w:rPr>
        <w:t xml:space="preserve">8.</w:t>
      </w:r>
      <w:r>
        <w:rPr>
          <w:sz w:val="22"/>
          <w:szCs w:val="22"/>
        </w:rPr>
        <w:tab/>
        <w:t xml:space="preserve">В случае направления бенефициаром требования на бумажном носителе представляются оригиналы предусмотренных пунктом 7 настоящей независимой гарантии документов или заверенные бенефициаром их копии. Если копия документа заверена лицом, не указа</w:t>
      </w:r>
      <w:r>
        <w:rPr>
          <w:sz w:val="22"/>
          <w:szCs w:val="22"/>
        </w:rPr>
        <w:t xml:space="preserve">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w:t>
      </w:r>
      <w:r>
        <w:rPr>
          <w:sz w:val="22"/>
          <w:szCs w:val="22"/>
        </w:rPr>
        <w:t xml:space="preserve">случае направления </w:t>
      </w:r>
      <w:r>
        <w:rPr>
          <w:sz w:val="22"/>
          <w:szCs w:val="22"/>
        </w:rPr>
        <w:t xml:space="preserve">требования</w:t>
      </w:r>
      <w:r>
        <w:rPr>
          <w:sz w:val="22"/>
          <w:szCs w:val="22"/>
        </w:rPr>
        <w:t xml:space="preserve"> в форме электронного документа предусмотренные пунктом 7 настоящего раздела</w:t>
      </w:r>
      <w:r>
        <w:rPr>
          <w:sz w:val="22"/>
          <w:szCs w:val="22"/>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r>
        <w:rPr>
          <w:sz w:val="22"/>
          <w:szCs w:val="22"/>
        </w:rPr>
      </w:r>
    </w:p>
    <w:p>
      <w:pPr>
        <w:widowControl w:val="off"/>
        <w:tabs>
          <w:tab w:val="left" w:pos="284" w:leader="none"/>
        </w:tabs>
        <w:rPr>
          <w:sz w:val="22"/>
          <w:szCs w:val="22"/>
        </w:rPr>
      </w:pPr>
      <w:r>
        <w:rPr>
          <w:sz w:val="22"/>
          <w:szCs w:val="22"/>
        </w:rPr>
        <w:t xml:space="preserve">9.</w:t>
      </w:r>
      <w:r>
        <w:rPr>
          <w:sz w:val="22"/>
          <w:szCs w:val="22"/>
        </w:rPr>
        <w:tab/>
        <w:t xml:space="preserve">Гарант обязан рассмотреть требование не позднее 5 рабочих дней со дня, следующего за днем получения указанных требований и документов, предусмотренных пунктом 7 настоящей независимой гарантии.</w:t>
      </w:r>
      <w:r>
        <w:rPr>
          <w:sz w:val="22"/>
          <w:szCs w:val="22"/>
        </w:rPr>
      </w:r>
    </w:p>
    <w:p>
      <w:pPr>
        <w:widowControl w:val="off"/>
        <w:tabs>
          <w:tab w:val="left" w:pos="426" w:leader="none"/>
        </w:tabs>
        <w:rPr>
          <w:sz w:val="22"/>
          <w:szCs w:val="22"/>
        </w:rPr>
      </w:pPr>
      <w:r>
        <w:rPr>
          <w:sz w:val="22"/>
          <w:szCs w:val="22"/>
        </w:rPr>
        <w:t xml:space="preserve">10.</w:t>
      </w:r>
      <w:r>
        <w:rPr>
          <w:sz w:val="22"/>
          <w:szCs w:val="22"/>
        </w:rPr>
        <w:tab/>
        <w:t xml:space="preserve">Гарант обязан уплатить бенефициару всю денежную сумму по настоящей независимой гарантии не позднее 10 рабочих дней </w:t>
      </w:r>
      <w:r>
        <w:rPr>
          <w:sz w:val="22"/>
          <w:szCs w:val="22"/>
        </w:rPr>
        <w:t xml:space="preserve">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r>
        <w:rPr>
          <w:sz w:val="22"/>
          <w:szCs w:val="22"/>
        </w:rPr>
      </w:r>
    </w:p>
    <w:p>
      <w:pPr>
        <w:widowControl w:val="off"/>
        <w:tabs>
          <w:tab w:val="left" w:pos="426" w:leader="none"/>
        </w:tabs>
        <w:rPr>
          <w:sz w:val="22"/>
          <w:szCs w:val="22"/>
        </w:rPr>
      </w:pPr>
      <w:r>
        <w:rPr>
          <w:sz w:val="22"/>
          <w:szCs w:val="22"/>
        </w:rPr>
        <w:t xml:space="preserve">11.</w:t>
      </w:r>
      <w:r>
        <w:rPr>
          <w:sz w:val="22"/>
          <w:szCs w:val="22"/>
        </w:rPr>
        <w:tab/>
        <w:t xml:space="preserve">Обязательство гаранта перед бенефициаром считается исполненным надл</w:t>
      </w:r>
      <w:r>
        <w:rPr>
          <w:sz w:val="22"/>
          <w:szCs w:val="22"/>
        </w:rPr>
        <w:t xml:space="preserve">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r>
        <w:rPr>
          <w:sz w:val="22"/>
          <w:szCs w:val="22"/>
        </w:rPr>
      </w:r>
    </w:p>
    <w:p>
      <w:pPr>
        <w:widowControl w:val="off"/>
        <w:tabs>
          <w:tab w:val="left" w:pos="426" w:leader="none"/>
        </w:tabs>
        <w:rPr>
          <w:sz w:val="22"/>
          <w:szCs w:val="22"/>
        </w:rPr>
      </w:pPr>
      <w:r>
        <w:rPr>
          <w:sz w:val="22"/>
          <w:szCs w:val="22"/>
        </w:rPr>
        <w:t xml:space="preserve">12.</w:t>
      </w:r>
      <w:r>
        <w:rPr>
          <w:sz w:val="22"/>
          <w:szCs w:val="22"/>
        </w:rPr>
        <w:tab/>
      </w:r>
      <w:r>
        <w:rPr>
          <w:sz w:val="22"/>
          <w:szCs w:val="22"/>
        </w:rPr>
        <w:t xml:space="preserve">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w:t>
      </w:r>
      <w:r>
        <w:rPr>
          <w:sz w:val="22"/>
          <w:szCs w:val="22"/>
        </w:rPr>
        <w:t xml:space="preserve">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r>
        <w:rPr>
          <w:sz w:val="22"/>
          <w:szCs w:val="22"/>
        </w:rPr>
        <w:t xml:space="preserve"> суммы, подлежащей уплате по настоящей независимой гарантии.</w:t>
      </w:r>
      <w:r>
        <w:rPr>
          <w:sz w:val="22"/>
          <w:szCs w:val="22"/>
        </w:rPr>
      </w:r>
    </w:p>
    <w:p>
      <w:pPr>
        <w:widowControl w:val="off"/>
        <w:tabs>
          <w:tab w:val="left" w:pos="426" w:leader="none"/>
        </w:tabs>
        <w:rPr>
          <w:sz w:val="22"/>
          <w:szCs w:val="22"/>
        </w:rPr>
      </w:pPr>
      <w:r>
        <w:rPr>
          <w:sz w:val="22"/>
          <w:szCs w:val="22"/>
        </w:rPr>
        <w:t xml:space="preserve">13.</w:t>
      </w:r>
      <w:r>
        <w:rPr>
          <w:sz w:val="22"/>
          <w:szCs w:val="22"/>
        </w:rPr>
        <w:tab/>
        <w:t xml:space="preserve">Все расходы, возникающие в связи с перечислением гарантом денежных средств по настоящей независимой гарантии бенефициару, несет гарант.</w:t>
      </w:r>
      <w:r>
        <w:rPr>
          <w:sz w:val="22"/>
          <w:szCs w:val="22"/>
        </w:rPr>
      </w:r>
    </w:p>
    <w:p>
      <w:pPr>
        <w:widowControl w:val="off"/>
        <w:tabs>
          <w:tab w:val="left" w:pos="426" w:leader="none"/>
        </w:tabs>
        <w:rPr>
          <w:sz w:val="22"/>
          <w:szCs w:val="22"/>
        </w:rPr>
      </w:pPr>
      <w:r>
        <w:rPr>
          <w:sz w:val="22"/>
          <w:szCs w:val="22"/>
        </w:rPr>
        <w:t xml:space="preserve">14.</w:t>
      </w:r>
      <w:r>
        <w:rPr>
          <w:sz w:val="22"/>
          <w:szCs w:val="22"/>
        </w:rPr>
        <w:tab/>
      </w:r>
      <w:r>
        <w:rPr>
          <w:sz w:val="22"/>
          <w:szCs w:val="22"/>
        </w:rPr>
        <w:t xml:space="preserve">Исключение </w:t>
      </w:r>
      <w:r>
        <w:rPr>
          <w:sz w:val="22"/>
          <w:szCs w:val="22"/>
        </w:rPr>
        <w:t xml:space="preserve">банка (если настоящая независимая гарантия выдана банком) из перечня, предусмотренного частью 1.2 статьи 45 Федерального закона «О контрактной системе в сфере закупок товаров, работ, услуг для обеспечения государственных и муниципальных нужд», и фонда соде</w:t>
      </w:r>
      <w:r>
        <w:rPr>
          <w:sz w:val="22"/>
          <w:szCs w:val="22"/>
        </w:rPr>
        <w:t xml:space="preserve">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w:t>
      </w:r>
      <w:r>
        <w:rPr>
          <w:sz w:val="22"/>
          <w:szCs w:val="22"/>
        </w:rPr>
        <w:t xml:space="preserve"> Российской Федерации» (если независимая гарантия выдана</w:t>
      </w:r>
      <w:r>
        <w:rPr>
          <w:sz w:val="22"/>
          <w:szCs w:val="22"/>
        </w:rPr>
        <w:t xml:space="preserve"> таким фондом), из перечня, предусмотренного частью 1.7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r>
        <w:rPr>
          <w:sz w:val="22"/>
          <w:szCs w:val="22"/>
        </w:rPr>
      </w:r>
    </w:p>
    <w:p>
      <w:pPr>
        <w:widowControl w:val="off"/>
        <w:tabs>
          <w:tab w:val="left" w:pos="426" w:leader="none"/>
        </w:tabs>
        <w:rPr>
          <w:sz w:val="22"/>
          <w:szCs w:val="22"/>
        </w:rPr>
      </w:pPr>
      <w:r>
        <w:rPr>
          <w:sz w:val="22"/>
          <w:szCs w:val="22"/>
        </w:rPr>
        <w:t xml:space="preserve">15.</w:t>
      </w:r>
      <w:r>
        <w:rPr>
          <w:sz w:val="22"/>
          <w:szCs w:val="22"/>
        </w:rPr>
        <w:tab/>
        <w:t xml:space="preserve">Споры, возникающие в связи с исполнением обязательств по настоящей независимой гарантии, подлежат рассмотрению в арбитражном суде г. Москвы.</w:t>
      </w:r>
      <w:r>
        <w:rPr>
          <w:sz w:val="22"/>
          <w:szCs w:val="22"/>
        </w:rPr>
      </w:r>
    </w:p>
    <w:p>
      <w:pPr>
        <w:widowControl w:val="off"/>
        <w:tabs>
          <w:tab w:val="left" w:pos="426" w:leader="none"/>
        </w:tabs>
        <w:rPr>
          <w:sz w:val="22"/>
          <w:szCs w:val="22"/>
        </w:rPr>
      </w:pPr>
      <w:r>
        <w:rPr>
          <w:sz w:val="22"/>
          <w:szCs w:val="22"/>
        </w:rPr>
        <w:t xml:space="preserve">16.</w:t>
      </w:r>
      <w:r>
        <w:rPr>
          <w:sz w:val="22"/>
          <w:szCs w:val="22"/>
        </w:rPr>
        <w:tab/>
        <w:t xml:space="preserve">Настоящая независимая гарантия выдана в пользу бенефициара, и права требования по ней не могут быть пе</w:t>
      </w:r>
      <w:r>
        <w:rPr>
          <w:sz w:val="22"/>
          <w:szCs w:val="22"/>
        </w:rPr>
        <w:t xml:space="preserve">реданы третьему лицу без согласия гаранта, за исключением случая перемены заказчика при осуществлении закупки, при котором право требования по настоящей независимой гарантии может быть передано новому заказчику с предварительным извещением об этом гаранта.</w:t>
      </w:r>
      <w:r>
        <w:rPr>
          <w:sz w:val="22"/>
          <w:szCs w:val="22"/>
        </w:rPr>
      </w:r>
    </w:p>
    <w:p>
      <w:pPr>
        <w:widowControl w:val="off"/>
        <w:tabs>
          <w:tab w:val="left" w:pos="426" w:leader="none"/>
        </w:tabs>
        <w:rPr>
          <w:sz w:val="22"/>
          <w:szCs w:val="22"/>
        </w:rPr>
      </w:pPr>
      <w:r>
        <w:rPr>
          <w:sz w:val="22"/>
          <w:szCs w:val="22"/>
        </w:rPr>
        <w:t xml:space="preserve">17.</w:t>
      </w:r>
      <w:r>
        <w:rPr>
          <w:sz w:val="22"/>
          <w:szCs w:val="22"/>
        </w:rPr>
        <w:tab/>
        <w:t xml:space="preserve">Настоящая независимая гарантия может быть изменена Гарантом без согласия Бенефициара только в части увеличения суммы и/или срока дейст</w:t>
      </w:r>
      <w:r>
        <w:rPr>
          <w:sz w:val="22"/>
          <w:szCs w:val="22"/>
        </w:rPr>
        <w:t xml:space="preserve">вия настоящей независимой гарантии. Иные изменения настоящей независимой гарантии допускаются только с согласия Бенефициара. Все изменения настоящей независимой гарантии должны быть оформлены в виде отдельного документа - Изменение к независимой гарантии.*</w:t>
      </w:r>
      <w:r>
        <w:rPr>
          <w:sz w:val="22"/>
          <w:szCs w:val="22"/>
        </w:rPr>
      </w:r>
    </w:p>
    <w:p>
      <w:pPr>
        <w:widowControl w:val="off"/>
        <w:tabs>
          <w:tab w:val="left" w:pos="426" w:leader="none"/>
        </w:tabs>
        <w:rPr>
          <w:sz w:val="22"/>
          <w:szCs w:val="22"/>
        </w:rPr>
      </w:pPr>
      <w:r>
        <w:rPr>
          <w:i/>
          <w:sz w:val="22"/>
          <w:szCs w:val="22"/>
        </w:rPr>
        <w:t xml:space="preserve">*Примечание: допускается </w:t>
      </w:r>
      <w:r>
        <w:rPr>
          <w:i/>
          <w:sz w:val="22"/>
          <w:szCs w:val="22"/>
        </w:rPr>
        <w:t xml:space="preserve">следующая редакция абзаца: «Настоящая независимая гарантия может быть изменена гарантом с письменного согласия бенефициара. Все изменения к настоящей независимой гарантии должны быть оформлены в виде письменного документа - Изменения к независимой гарантии</w:t>
      </w:r>
      <w:r>
        <w:rPr>
          <w:i/>
          <w:sz w:val="22"/>
          <w:szCs w:val="22"/>
        </w:rPr>
        <w:t xml:space="preserve">.». </w:t>
      </w:r>
      <w:r>
        <w:rPr>
          <w:sz w:val="22"/>
          <w:szCs w:val="22"/>
        </w:rPr>
      </w:r>
    </w:p>
    <w:p>
      <w:pPr>
        <w:widowControl w:val="off"/>
        <w:rPr>
          <w:sz w:val="22"/>
          <w:szCs w:val="22"/>
        </w:rPr>
      </w:pPr>
      <w:r>
        <w:rPr>
          <w:sz w:val="22"/>
          <w:szCs w:val="22"/>
        </w:rPr>
        <w:t xml:space="preserve">Письменное согласие бенефициара на изменение соответствующих условий настоящей независимой гарантии направляется гаранту до внесения изменений в независимую гарантию. Изменения в условия независимой гарантии вступают в силу </w:t>
      </w:r>
      <w:r>
        <w:rPr>
          <w:sz w:val="22"/>
          <w:szCs w:val="22"/>
        </w:rPr>
        <w:t xml:space="preserve">с даты</w:t>
      </w:r>
      <w:r>
        <w:rPr>
          <w:sz w:val="22"/>
          <w:szCs w:val="22"/>
        </w:rPr>
        <w:t xml:space="preserve"> их выпуска гарантом, если </w:t>
      </w:r>
      <w:r>
        <w:rPr>
          <w:sz w:val="22"/>
          <w:szCs w:val="22"/>
        </w:rPr>
        <w:t xml:space="preserve">иной момент вступления их в силу не определен в таких изменениях.</w:t>
      </w:r>
      <w:r>
        <w:rPr>
          <w:sz w:val="22"/>
          <w:szCs w:val="22"/>
        </w:rPr>
      </w:r>
    </w:p>
    <w:p>
      <w:pPr>
        <w:widowControl w:val="off"/>
        <w:rPr>
          <w:sz w:val="22"/>
          <w:szCs w:val="22"/>
        </w:rPr>
      </w:pPr>
      <w:r>
        <w:rPr>
          <w:sz w:val="22"/>
          <w:szCs w:val="22"/>
        </w:rPr>
        <w:t xml:space="preserve">Гарант передает сведения о принципале, определенные ст. 4 Федерального закона от 30.12.200</w:t>
      </w:r>
      <w:r>
        <w:rPr>
          <w:sz w:val="22"/>
          <w:szCs w:val="22"/>
        </w:rPr>
        <w:t xml:space="preserve">4 № 218-ФЗ «О кредитных историях», хотя бы в одно бюро кредитных историй, включенное в государственный реестр бюро кредитных историй, без получения согласий принципала на их представление в соответствии с требованиями ч. 3.1 и ч. 4 ст. 5 указанного Закона.</w:t>
      </w:r>
      <w:r>
        <w:rPr>
          <w:sz w:val="22"/>
          <w:szCs w:val="22"/>
        </w:rPr>
      </w:r>
    </w:p>
    <w:p>
      <w:pPr>
        <w:widowControl w:val="off"/>
        <w:tabs>
          <w:tab w:val="left" w:pos="426" w:leader="none"/>
        </w:tabs>
        <w:rPr>
          <w:sz w:val="22"/>
          <w:szCs w:val="22"/>
        </w:rPr>
      </w:pPr>
      <w:r>
        <w:rPr>
          <w:sz w:val="22"/>
          <w:szCs w:val="22"/>
        </w:rPr>
        <w:t xml:space="preserve">Действие настоящей независимой гарантии регулируется законодательством Российской Федерации.</w:t>
      </w:r>
      <w:r>
        <w:rPr>
          <w:sz w:val="22"/>
          <w:szCs w:val="22"/>
        </w:rPr>
      </w:r>
    </w:p>
    <w:p>
      <w:pPr>
        <w:ind w:firstLine="568"/>
        <w:widowControl w:val="off"/>
      </w:pPr>
      <w:r/>
      <w:r/>
    </w:p>
    <w:tbl>
      <w:tblPr>
        <w:tblW w:w="9420" w:type="dxa"/>
        <w:tblInd w:w="-34" w:type="dxa"/>
        <w:tblLayout w:type="fixed"/>
        <w:tblCellMar>
          <w:left w:w="28" w:type="dxa"/>
          <w:top w:w="114" w:type="dxa"/>
          <w:right w:w="28" w:type="dxa"/>
          <w:bottom w:w="114" w:type="dxa"/>
        </w:tblCellMar>
        <w:tblLook w:val="04A0" w:firstRow="1" w:lastRow="0" w:firstColumn="1" w:lastColumn="0" w:noHBand="0" w:noVBand="1"/>
      </w:tblPr>
      <w:tblGrid>
        <w:gridCol w:w="297"/>
        <w:gridCol w:w="600"/>
        <w:gridCol w:w="273"/>
        <w:gridCol w:w="747"/>
        <w:gridCol w:w="455"/>
        <w:gridCol w:w="453"/>
        <w:gridCol w:w="445"/>
        <w:gridCol w:w="1652"/>
        <w:gridCol w:w="298"/>
        <w:gridCol w:w="1651"/>
        <w:gridCol w:w="454"/>
        <w:gridCol w:w="747"/>
        <w:gridCol w:w="1348"/>
      </w:tblGrid>
      <w:tr>
        <w:tblPrEx/>
        <w:trPr/>
        <w:tc>
          <w:tcPr>
            <w:gridSpan w:val="7"/>
            <w:tcW w:w="3269" w:type="dxa"/>
            <w:textDirection w:val="lrTb"/>
            <w:noWrap w:val="false"/>
          </w:tcPr>
          <w:p>
            <w:pPr>
              <w:ind w:right="-13"/>
              <w:widowControl w:val="off"/>
            </w:pPr>
            <w:r>
              <w:t xml:space="preserve">Уполномоченное лицо гаранта, действующее на основании _______________ (наименование и реквизиты документа)</w:t>
            </w:r>
            <w:r/>
          </w:p>
        </w:tc>
        <w:tc>
          <w:tcPr>
            <w:tcBorders>
              <w:bottom w:val="single" w:color="000000" w:sz="6" w:space="0"/>
            </w:tcBorders>
            <w:tcW w:w="1652" w:type="dxa"/>
            <w:textDirection w:val="lrTb"/>
            <w:noWrap w:val="false"/>
          </w:tcPr>
          <w:p>
            <w:pPr>
              <w:widowControl w:val="off"/>
            </w:pPr>
            <w:r/>
            <w:r/>
          </w:p>
        </w:tc>
        <w:tc>
          <w:tcPr>
            <w:tcW w:w="298" w:type="dxa"/>
            <w:textDirection w:val="lrTb"/>
            <w:noWrap w:val="false"/>
          </w:tcPr>
          <w:p>
            <w:pPr>
              <w:widowControl w:val="off"/>
            </w:pPr>
            <w:r/>
            <w:r/>
          </w:p>
        </w:tc>
        <w:tc>
          <w:tcPr>
            <w:tcBorders>
              <w:bottom w:val="single" w:color="000000" w:sz="6" w:space="0"/>
            </w:tcBorders>
            <w:tcW w:w="1651" w:type="dxa"/>
            <w:textDirection w:val="lrTb"/>
            <w:noWrap w:val="false"/>
          </w:tcPr>
          <w:p>
            <w:pPr>
              <w:widowControl w:val="off"/>
            </w:pPr>
            <w:r/>
            <w:r/>
          </w:p>
        </w:tc>
        <w:tc>
          <w:tcPr>
            <w:tcW w:w="454" w:type="dxa"/>
            <w:textDirection w:val="lrTb"/>
            <w:noWrap w:val="false"/>
          </w:tcPr>
          <w:p>
            <w:pPr>
              <w:widowControl w:val="off"/>
            </w:pPr>
            <w:r/>
            <w:r/>
          </w:p>
        </w:tc>
        <w:tc>
          <w:tcPr>
            <w:gridSpan w:val="2"/>
            <w:tcBorders>
              <w:bottom w:val="single" w:color="000000" w:sz="6" w:space="0"/>
            </w:tcBorders>
            <w:tcW w:w="2095" w:type="dxa"/>
            <w:textDirection w:val="lrTb"/>
            <w:noWrap w:val="false"/>
          </w:tcPr>
          <w:p>
            <w:pPr>
              <w:widowControl w:val="off"/>
            </w:pPr>
            <w:r/>
            <w:r/>
          </w:p>
        </w:tc>
      </w:tr>
      <w:tr>
        <w:tblPrEx/>
        <w:trPr/>
        <w:tc>
          <w:tcPr>
            <w:gridSpan w:val="7"/>
            <w:tcW w:w="3269" w:type="dxa"/>
            <w:textDirection w:val="lrTb"/>
            <w:noWrap w:val="false"/>
          </w:tcPr>
          <w:p>
            <w:pPr>
              <w:widowControl w:val="off"/>
              <w:rPr>
                <w:sz w:val="20"/>
                <w:szCs w:val="20"/>
              </w:rPr>
            </w:pPr>
            <w:r>
              <w:rPr>
                <w:sz w:val="20"/>
                <w:szCs w:val="20"/>
              </w:rPr>
            </w:r>
            <w:r>
              <w:rPr>
                <w:sz w:val="20"/>
                <w:szCs w:val="20"/>
              </w:rPr>
            </w:r>
          </w:p>
        </w:tc>
        <w:tc>
          <w:tcPr>
            <w:tcBorders>
              <w:top w:val="single" w:color="000000" w:sz="6" w:space="0"/>
            </w:tcBorders>
            <w:tcW w:w="1652" w:type="dxa"/>
            <w:textDirection w:val="lrTb"/>
            <w:noWrap w:val="false"/>
          </w:tcPr>
          <w:p>
            <w:pPr>
              <w:jc w:val="center"/>
              <w:widowControl w:val="off"/>
              <w:rPr>
                <w:sz w:val="20"/>
                <w:szCs w:val="20"/>
              </w:rPr>
            </w:pPr>
            <w:r>
              <w:rPr>
                <w:sz w:val="20"/>
                <w:szCs w:val="20"/>
              </w:rPr>
              <w:t xml:space="preserve">(должность)</w:t>
            </w:r>
            <w:r>
              <w:rPr>
                <w:sz w:val="20"/>
                <w:szCs w:val="20"/>
              </w:rPr>
            </w:r>
          </w:p>
        </w:tc>
        <w:tc>
          <w:tcPr>
            <w:tcW w:w="298" w:type="dxa"/>
            <w:textDirection w:val="lrTb"/>
            <w:noWrap w:val="false"/>
          </w:tcPr>
          <w:p>
            <w:pPr>
              <w:widowControl w:val="off"/>
              <w:rPr>
                <w:sz w:val="20"/>
                <w:szCs w:val="20"/>
              </w:rPr>
            </w:pPr>
            <w:r>
              <w:rPr>
                <w:sz w:val="20"/>
                <w:szCs w:val="20"/>
              </w:rPr>
            </w:r>
            <w:r>
              <w:rPr>
                <w:sz w:val="20"/>
                <w:szCs w:val="20"/>
              </w:rPr>
            </w:r>
          </w:p>
        </w:tc>
        <w:tc>
          <w:tcPr>
            <w:tcBorders>
              <w:top w:val="single" w:color="000000" w:sz="6" w:space="0"/>
            </w:tcBorders>
            <w:tcW w:w="1651" w:type="dxa"/>
            <w:textDirection w:val="lrTb"/>
            <w:noWrap w:val="false"/>
          </w:tcPr>
          <w:p>
            <w:pPr>
              <w:jc w:val="center"/>
              <w:widowControl w:val="off"/>
              <w:rPr>
                <w:sz w:val="20"/>
                <w:szCs w:val="20"/>
              </w:rPr>
            </w:pPr>
            <w:r>
              <w:rPr>
                <w:sz w:val="20"/>
                <w:szCs w:val="20"/>
              </w:rPr>
              <w:t xml:space="preserve">(подпись)</w:t>
            </w:r>
            <w:r>
              <w:rPr>
                <w:sz w:val="20"/>
                <w:szCs w:val="20"/>
              </w:rPr>
            </w:r>
          </w:p>
        </w:tc>
        <w:tc>
          <w:tcPr>
            <w:tcW w:w="454" w:type="dxa"/>
            <w:textDirection w:val="lrTb"/>
            <w:noWrap w:val="false"/>
          </w:tcPr>
          <w:p>
            <w:pPr>
              <w:widowControl w:val="off"/>
              <w:rPr>
                <w:sz w:val="20"/>
                <w:szCs w:val="20"/>
              </w:rPr>
            </w:pPr>
            <w:r>
              <w:rPr>
                <w:sz w:val="20"/>
                <w:szCs w:val="20"/>
              </w:rPr>
            </w:r>
            <w:r>
              <w:rPr>
                <w:sz w:val="20"/>
                <w:szCs w:val="20"/>
              </w:rPr>
            </w:r>
          </w:p>
        </w:tc>
        <w:tc>
          <w:tcPr>
            <w:gridSpan w:val="2"/>
            <w:tcBorders>
              <w:top w:val="single" w:color="000000" w:sz="6" w:space="0"/>
            </w:tcBorders>
            <w:tcW w:w="2095" w:type="dxa"/>
            <w:textDirection w:val="lrTb"/>
            <w:noWrap w:val="false"/>
          </w:tcPr>
          <w:p>
            <w:pPr>
              <w:jc w:val="center"/>
              <w:widowControl w:val="off"/>
              <w:rPr>
                <w:sz w:val="20"/>
                <w:szCs w:val="20"/>
              </w:rPr>
            </w:pPr>
            <w:r>
              <w:rPr>
                <w:sz w:val="20"/>
                <w:szCs w:val="20"/>
              </w:rPr>
              <w:t xml:space="preserve">(расшифровка подписи)</w:t>
            </w:r>
            <w:r>
              <w:rPr>
                <w:sz w:val="20"/>
                <w:szCs w:val="20"/>
              </w:rPr>
            </w:r>
          </w:p>
        </w:tc>
      </w:tr>
      <w:tr>
        <w:tblPrEx/>
        <w:trPr/>
        <w:tc>
          <w:tcPr>
            <w:tcW w:w="296" w:type="dxa"/>
            <w:textDirection w:val="lrTb"/>
            <w:noWrap w:val="false"/>
          </w:tcPr>
          <w:p>
            <w:pPr>
              <w:widowControl w:val="off"/>
              <w:rPr>
                <w:sz w:val="26"/>
                <w:szCs w:val="26"/>
              </w:rPr>
            </w:pPr>
            <w:r>
              <w:rPr>
                <w:sz w:val="26"/>
                <w:szCs w:val="26"/>
              </w:rPr>
              <w:t xml:space="preserve">«</w:t>
            </w:r>
            <w:r>
              <w:rPr>
                <w:sz w:val="26"/>
                <w:szCs w:val="26"/>
              </w:rPr>
            </w:r>
          </w:p>
        </w:tc>
        <w:tc>
          <w:tcPr>
            <w:tcBorders>
              <w:bottom w:val="single" w:color="000000" w:sz="6" w:space="0"/>
            </w:tcBorders>
            <w:tcW w:w="600" w:type="dxa"/>
            <w:textDirection w:val="lrTb"/>
            <w:noWrap w:val="false"/>
          </w:tcPr>
          <w:p>
            <w:pPr>
              <w:widowControl w:val="off"/>
              <w:rPr>
                <w:sz w:val="26"/>
                <w:szCs w:val="26"/>
              </w:rPr>
            </w:pPr>
            <w:r>
              <w:rPr>
                <w:sz w:val="26"/>
                <w:szCs w:val="26"/>
              </w:rPr>
            </w:r>
            <w:r>
              <w:rPr>
                <w:sz w:val="26"/>
                <w:szCs w:val="26"/>
              </w:rPr>
            </w:r>
          </w:p>
        </w:tc>
        <w:tc>
          <w:tcPr>
            <w:tcW w:w="273" w:type="dxa"/>
            <w:textDirection w:val="lrTb"/>
            <w:noWrap w:val="false"/>
          </w:tcPr>
          <w:p>
            <w:pPr>
              <w:widowControl w:val="off"/>
              <w:rPr>
                <w:sz w:val="26"/>
                <w:szCs w:val="26"/>
              </w:rPr>
            </w:pPr>
            <w:r>
              <w:rPr>
                <w:sz w:val="26"/>
                <w:szCs w:val="26"/>
              </w:rPr>
              <w:t xml:space="preserve">»</w:t>
            </w:r>
            <w:r>
              <w:rPr>
                <w:sz w:val="26"/>
                <w:szCs w:val="26"/>
              </w:rPr>
            </w:r>
          </w:p>
        </w:tc>
        <w:tc>
          <w:tcPr>
            <w:tcBorders>
              <w:bottom w:val="single" w:color="000000" w:sz="6" w:space="0"/>
            </w:tcBorders>
            <w:tcW w:w="747" w:type="dxa"/>
            <w:textDirection w:val="lrTb"/>
            <w:noWrap w:val="false"/>
          </w:tcPr>
          <w:p>
            <w:pPr>
              <w:widowControl w:val="off"/>
              <w:rPr>
                <w:sz w:val="26"/>
                <w:szCs w:val="26"/>
              </w:rPr>
            </w:pPr>
            <w:r>
              <w:rPr>
                <w:sz w:val="26"/>
                <w:szCs w:val="26"/>
              </w:rPr>
            </w:r>
            <w:r>
              <w:rPr>
                <w:sz w:val="26"/>
                <w:szCs w:val="26"/>
              </w:rPr>
            </w:r>
          </w:p>
        </w:tc>
        <w:tc>
          <w:tcPr>
            <w:tcW w:w="455" w:type="dxa"/>
            <w:textDirection w:val="lrTb"/>
            <w:noWrap w:val="false"/>
          </w:tcPr>
          <w:p>
            <w:pPr>
              <w:widowControl w:val="off"/>
              <w:rPr>
                <w:sz w:val="26"/>
                <w:szCs w:val="26"/>
              </w:rPr>
            </w:pPr>
            <w:r>
              <w:rPr>
                <w:sz w:val="26"/>
                <w:szCs w:val="26"/>
              </w:rPr>
              <w:t xml:space="preserve">20</w:t>
            </w:r>
            <w:r>
              <w:rPr>
                <w:sz w:val="26"/>
                <w:szCs w:val="26"/>
              </w:rPr>
            </w:r>
          </w:p>
        </w:tc>
        <w:tc>
          <w:tcPr>
            <w:tcBorders>
              <w:bottom w:val="single" w:color="000000" w:sz="6" w:space="0"/>
            </w:tcBorders>
            <w:tcW w:w="453" w:type="dxa"/>
            <w:textDirection w:val="lrTb"/>
            <w:noWrap w:val="false"/>
          </w:tcPr>
          <w:p>
            <w:pPr>
              <w:widowControl w:val="off"/>
              <w:rPr>
                <w:sz w:val="26"/>
                <w:szCs w:val="26"/>
              </w:rPr>
            </w:pPr>
            <w:r>
              <w:rPr>
                <w:sz w:val="26"/>
                <w:szCs w:val="26"/>
              </w:rPr>
            </w:r>
            <w:r>
              <w:rPr>
                <w:sz w:val="26"/>
                <w:szCs w:val="26"/>
              </w:rPr>
            </w:r>
          </w:p>
        </w:tc>
        <w:tc>
          <w:tcPr>
            <w:tcW w:w="445" w:type="dxa"/>
            <w:textDirection w:val="lrTb"/>
            <w:noWrap w:val="false"/>
          </w:tcPr>
          <w:p>
            <w:pPr>
              <w:widowControl w:val="off"/>
              <w:rPr>
                <w:sz w:val="26"/>
                <w:szCs w:val="26"/>
              </w:rPr>
            </w:pPr>
            <w:r>
              <w:rPr>
                <w:sz w:val="26"/>
                <w:szCs w:val="26"/>
              </w:rPr>
              <w:t xml:space="preserve">г</w:t>
            </w:r>
            <w:r>
              <w:rPr>
                <w:sz w:val="26"/>
                <w:szCs w:val="26"/>
              </w:rPr>
              <w:t xml:space="preserve">.</w:t>
            </w:r>
            <w:r>
              <w:rPr>
                <w:sz w:val="26"/>
                <w:szCs w:val="26"/>
              </w:rPr>
            </w:r>
          </w:p>
        </w:tc>
        <w:tc>
          <w:tcPr>
            <w:tcW w:w="1652" w:type="dxa"/>
            <w:textDirection w:val="lrTb"/>
            <w:noWrap w:val="false"/>
          </w:tcPr>
          <w:p>
            <w:pPr>
              <w:widowControl w:val="off"/>
              <w:rPr>
                <w:sz w:val="26"/>
                <w:szCs w:val="26"/>
              </w:rPr>
            </w:pPr>
            <w:r>
              <w:rPr>
                <w:sz w:val="26"/>
                <w:szCs w:val="26"/>
              </w:rPr>
            </w:r>
            <w:r>
              <w:rPr>
                <w:sz w:val="26"/>
                <w:szCs w:val="26"/>
              </w:rPr>
            </w:r>
          </w:p>
        </w:tc>
        <w:tc>
          <w:tcPr>
            <w:tcW w:w="298" w:type="dxa"/>
            <w:textDirection w:val="lrTb"/>
            <w:noWrap w:val="false"/>
          </w:tcPr>
          <w:p>
            <w:pPr>
              <w:widowControl w:val="off"/>
              <w:rPr>
                <w:sz w:val="26"/>
                <w:szCs w:val="26"/>
              </w:rPr>
            </w:pPr>
            <w:r>
              <w:rPr>
                <w:sz w:val="26"/>
                <w:szCs w:val="26"/>
              </w:rPr>
            </w:r>
            <w:r>
              <w:rPr>
                <w:sz w:val="26"/>
                <w:szCs w:val="26"/>
              </w:rPr>
            </w:r>
          </w:p>
        </w:tc>
        <w:tc>
          <w:tcPr>
            <w:tcW w:w="1651" w:type="dxa"/>
            <w:textDirection w:val="lrTb"/>
            <w:noWrap w:val="false"/>
          </w:tcPr>
          <w:p>
            <w:pPr>
              <w:widowControl w:val="off"/>
              <w:rPr>
                <w:sz w:val="26"/>
                <w:szCs w:val="26"/>
              </w:rPr>
            </w:pPr>
            <w:r>
              <w:rPr>
                <w:sz w:val="26"/>
                <w:szCs w:val="26"/>
              </w:rPr>
            </w:r>
            <w:r>
              <w:rPr>
                <w:sz w:val="26"/>
                <w:szCs w:val="26"/>
              </w:rPr>
            </w:r>
          </w:p>
        </w:tc>
        <w:tc>
          <w:tcPr>
            <w:tcW w:w="454" w:type="dxa"/>
            <w:textDirection w:val="lrTb"/>
            <w:noWrap w:val="false"/>
          </w:tcPr>
          <w:p>
            <w:pPr>
              <w:widowControl w:val="off"/>
              <w:rPr>
                <w:sz w:val="26"/>
                <w:szCs w:val="26"/>
              </w:rPr>
            </w:pPr>
            <w:r>
              <w:rPr>
                <w:sz w:val="26"/>
                <w:szCs w:val="26"/>
              </w:rPr>
            </w:r>
            <w:r>
              <w:rPr>
                <w:sz w:val="26"/>
                <w:szCs w:val="26"/>
              </w:rPr>
            </w:r>
          </w:p>
        </w:tc>
        <w:tc>
          <w:tcPr>
            <w:tcW w:w="747" w:type="dxa"/>
            <w:textDirection w:val="lrTb"/>
            <w:noWrap w:val="false"/>
          </w:tcPr>
          <w:p>
            <w:pPr>
              <w:widowControl w:val="off"/>
              <w:rPr>
                <w:sz w:val="26"/>
                <w:szCs w:val="26"/>
              </w:rPr>
            </w:pPr>
            <w:r>
              <w:rPr>
                <w:sz w:val="26"/>
                <w:szCs w:val="26"/>
              </w:rPr>
            </w:r>
            <w:r>
              <w:rPr>
                <w:sz w:val="26"/>
                <w:szCs w:val="26"/>
              </w:rPr>
            </w:r>
          </w:p>
        </w:tc>
        <w:tc>
          <w:tcPr>
            <w:tcW w:w="1348" w:type="dxa"/>
            <w:textDirection w:val="lrTb"/>
            <w:noWrap w:val="false"/>
          </w:tcPr>
          <w:p>
            <w:pPr>
              <w:widowControl w:val="off"/>
              <w:rPr>
                <w:sz w:val="26"/>
                <w:szCs w:val="26"/>
              </w:rPr>
            </w:pPr>
            <w:r>
              <w:rPr>
                <w:sz w:val="26"/>
                <w:szCs w:val="26"/>
              </w:rPr>
            </w:r>
            <w:r>
              <w:rPr>
                <w:sz w:val="26"/>
                <w:szCs w:val="26"/>
              </w:rPr>
            </w:r>
          </w:p>
        </w:tc>
      </w:tr>
      <w:tr>
        <w:tblPrEx/>
        <w:trPr/>
        <w:tc>
          <w:tcPr>
            <w:gridSpan w:val="7"/>
            <w:tcW w:w="3269" w:type="dxa"/>
            <w:textDirection w:val="lrTb"/>
            <w:noWrap w:val="false"/>
          </w:tcPr>
          <w:p>
            <w:pPr>
              <w:widowControl w:val="off"/>
              <w:rPr>
                <w:sz w:val="26"/>
                <w:szCs w:val="26"/>
              </w:rPr>
            </w:pPr>
            <w:r>
              <w:rPr>
                <w:sz w:val="26"/>
                <w:szCs w:val="26"/>
              </w:rPr>
            </w:r>
            <w:r>
              <w:rPr>
                <w:sz w:val="26"/>
                <w:szCs w:val="26"/>
              </w:rPr>
            </w:r>
          </w:p>
        </w:tc>
        <w:tc>
          <w:tcPr>
            <w:tcW w:w="1652" w:type="dxa"/>
            <w:textDirection w:val="lrTb"/>
            <w:noWrap w:val="false"/>
          </w:tcPr>
          <w:p>
            <w:pPr>
              <w:widowControl w:val="off"/>
              <w:rPr>
                <w:sz w:val="26"/>
                <w:szCs w:val="26"/>
              </w:rPr>
            </w:pPr>
            <w:r>
              <w:rPr>
                <w:sz w:val="26"/>
                <w:szCs w:val="26"/>
              </w:rPr>
            </w:r>
            <w:r>
              <w:rPr>
                <w:sz w:val="26"/>
                <w:szCs w:val="26"/>
              </w:rPr>
            </w:r>
          </w:p>
        </w:tc>
        <w:tc>
          <w:tcPr>
            <w:tcW w:w="298" w:type="dxa"/>
            <w:textDirection w:val="lrTb"/>
            <w:noWrap w:val="false"/>
          </w:tcPr>
          <w:p>
            <w:pPr>
              <w:widowControl w:val="off"/>
              <w:rPr>
                <w:sz w:val="26"/>
                <w:szCs w:val="26"/>
              </w:rPr>
            </w:pPr>
            <w:r>
              <w:rPr>
                <w:sz w:val="26"/>
                <w:szCs w:val="26"/>
              </w:rPr>
            </w:r>
            <w:r>
              <w:rPr>
                <w:sz w:val="26"/>
                <w:szCs w:val="26"/>
              </w:rPr>
            </w:r>
          </w:p>
        </w:tc>
        <w:tc>
          <w:tcPr>
            <w:tcW w:w="1651" w:type="dxa"/>
            <w:textDirection w:val="lrTb"/>
            <w:noWrap w:val="false"/>
          </w:tcPr>
          <w:p>
            <w:pPr>
              <w:widowControl w:val="off"/>
              <w:rPr>
                <w:sz w:val="26"/>
                <w:szCs w:val="26"/>
              </w:rPr>
            </w:pPr>
            <w:r>
              <w:rPr>
                <w:sz w:val="26"/>
                <w:szCs w:val="26"/>
              </w:rPr>
            </w:r>
            <w:r>
              <w:rPr>
                <w:sz w:val="26"/>
                <w:szCs w:val="26"/>
              </w:rPr>
            </w:r>
          </w:p>
        </w:tc>
        <w:tc>
          <w:tcPr>
            <w:tcW w:w="454" w:type="dxa"/>
            <w:textDirection w:val="lrTb"/>
            <w:noWrap w:val="false"/>
          </w:tcPr>
          <w:p>
            <w:pPr>
              <w:widowControl w:val="off"/>
              <w:rPr>
                <w:sz w:val="26"/>
                <w:szCs w:val="26"/>
              </w:rPr>
            </w:pPr>
            <w:r>
              <w:rPr>
                <w:sz w:val="26"/>
                <w:szCs w:val="26"/>
              </w:rPr>
            </w:r>
            <w:r>
              <w:rPr>
                <w:sz w:val="26"/>
                <w:szCs w:val="26"/>
              </w:rPr>
            </w:r>
          </w:p>
        </w:tc>
        <w:tc>
          <w:tcPr>
            <w:tcW w:w="747" w:type="dxa"/>
            <w:textDirection w:val="lrTb"/>
            <w:noWrap w:val="false"/>
          </w:tcPr>
          <w:p>
            <w:pPr>
              <w:widowControl w:val="off"/>
              <w:rPr>
                <w:sz w:val="26"/>
                <w:szCs w:val="26"/>
              </w:rPr>
            </w:pPr>
            <w:r>
              <w:rPr>
                <w:sz w:val="26"/>
                <w:szCs w:val="26"/>
              </w:rPr>
            </w:r>
            <w:r>
              <w:rPr>
                <w:sz w:val="26"/>
                <w:szCs w:val="26"/>
              </w:rPr>
            </w:r>
          </w:p>
        </w:tc>
        <w:tc>
          <w:tcPr>
            <w:tcBorders>
              <w:bottom w:val="single" w:color="000000" w:sz="6" w:space="0"/>
            </w:tcBorders>
            <w:tcW w:w="1348" w:type="dxa"/>
            <w:textDirection w:val="lrTb"/>
            <w:noWrap w:val="false"/>
          </w:tcPr>
          <w:p>
            <w:pPr>
              <w:widowControl w:val="off"/>
              <w:rPr>
                <w:sz w:val="26"/>
                <w:szCs w:val="26"/>
              </w:rPr>
            </w:pPr>
            <w:r>
              <w:rPr>
                <w:sz w:val="26"/>
                <w:szCs w:val="26"/>
              </w:rPr>
            </w:r>
            <w:r>
              <w:rPr>
                <w:sz w:val="26"/>
                <w:szCs w:val="26"/>
              </w:rPr>
            </w:r>
          </w:p>
        </w:tc>
      </w:tr>
      <w:tr>
        <w:tblPrEx/>
        <w:trPr/>
        <w:tc>
          <w:tcPr>
            <w:gridSpan w:val="7"/>
            <w:tcW w:w="3269" w:type="dxa"/>
            <w:textDirection w:val="lrTb"/>
            <w:noWrap w:val="false"/>
          </w:tcPr>
          <w:p>
            <w:pPr>
              <w:widowControl w:val="off"/>
              <w:rPr>
                <w:sz w:val="26"/>
                <w:szCs w:val="26"/>
              </w:rPr>
            </w:pPr>
            <w:r>
              <w:rPr>
                <w:sz w:val="26"/>
                <w:szCs w:val="26"/>
              </w:rPr>
            </w:r>
            <w:r>
              <w:rPr>
                <w:sz w:val="26"/>
                <w:szCs w:val="26"/>
              </w:rPr>
            </w:r>
          </w:p>
        </w:tc>
        <w:tc>
          <w:tcPr>
            <w:tcW w:w="1652" w:type="dxa"/>
            <w:textDirection w:val="lrTb"/>
            <w:noWrap w:val="false"/>
          </w:tcPr>
          <w:p>
            <w:pPr>
              <w:widowControl w:val="off"/>
              <w:rPr>
                <w:sz w:val="26"/>
                <w:szCs w:val="26"/>
              </w:rPr>
            </w:pPr>
            <w:r>
              <w:rPr>
                <w:sz w:val="26"/>
                <w:szCs w:val="26"/>
              </w:rPr>
            </w:r>
            <w:r>
              <w:rPr>
                <w:sz w:val="26"/>
                <w:szCs w:val="26"/>
              </w:rPr>
            </w:r>
          </w:p>
        </w:tc>
        <w:tc>
          <w:tcPr>
            <w:tcW w:w="298" w:type="dxa"/>
            <w:textDirection w:val="lrTb"/>
            <w:noWrap w:val="false"/>
          </w:tcPr>
          <w:p>
            <w:pPr>
              <w:widowControl w:val="off"/>
              <w:rPr>
                <w:sz w:val="26"/>
                <w:szCs w:val="26"/>
              </w:rPr>
            </w:pPr>
            <w:r>
              <w:rPr>
                <w:sz w:val="26"/>
                <w:szCs w:val="26"/>
              </w:rPr>
            </w:r>
            <w:r>
              <w:rPr>
                <w:sz w:val="26"/>
                <w:szCs w:val="26"/>
              </w:rPr>
            </w:r>
          </w:p>
        </w:tc>
        <w:tc>
          <w:tcPr>
            <w:gridSpan w:val="3"/>
            <w:tcBorders>
              <w:right w:val="single" w:color="000000" w:sz="6" w:space="0"/>
            </w:tcBorders>
            <w:tcW w:w="2852" w:type="dxa"/>
            <w:textDirection w:val="lrTb"/>
            <w:noWrap w:val="false"/>
          </w:tcPr>
          <w:p>
            <w:pPr>
              <w:jc w:val="right"/>
              <w:widowControl w:val="off"/>
              <w:rPr>
                <w:sz w:val="26"/>
                <w:szCs w:val="26"/>
              </w:rPr>
            </w:pPr>
            <w:r>
              <w:rPr>
                <w:sz w:val="26"/>
                <w:szCs w:val="26"/>
              </w:rPr>
              <w:t xml:space="preserve">Лист №</w:t>
            </w:r>
            <w:r>
              <w:rPr>
                <w:sz w:val="26"/>
                <w:szCs w:val="26"/>
              </w:rPr>
            </w:r>
          </w:p>
        </w:tc>
        <w:tc>
          <w:tcPr>
            <w:tcBorders>
              <w:top w:val="single" w:color="000000" w:sz="6" w:space="0"/>
              <w:left w:val="single" w:color="000000" w:sz="6" w:space="0"/>
              <w:bottom w:val="single" w:color="000000" w:sz="6" w:space="0"/>
              <w:right w:val="single" w:color="000000" w:sz="6" w:space="0"/>
            </w:tcBorders>
            <w:tcW w:w="1348" w:type="dxa"/>
            <w:textDirection w:val="lrTb"/>
            <w:noWrap w:val="false"/>
          </w:tcPr>
          <w:p>
            <w:pPr>
              <w:widowControl w:val="off"/>
              <w:rPr>
                <w:sz w:val="26"/>
                <w:szCs w:val="26"/>
              </w:rPr>
            </w:pPr>
            <w:r>
              <w:rPr>
                <w:sz w:val="26"/>
                <w:szCs w:val="26"/>
              </w:rPr>
            </w:r>
            <w:r>
              <w:rPr>
                <w:sz w:val="26"/>
                <w:szCs w:val="26"/>
              </w:rPr>
            </w:r>
          </w:p>
        </w:tc>
      </w:tr>
      <w:tr>
        <w:tblPrEx/>
        <w:trPr/>
        <w:tc>
          <w:tcPr>
            <w:gridSpan w:val="7"/>
            <w:tcW w:w="3269" w:type="dxa"/>
            <w:textDirection w:val="lrTb"/>
            <w:noWrap w:val="false"/>
          </w:tcPr>
          <w:p>
            <w:pPr>
              <w:widowControl w:val="off"/>
              <w:rPr>
                <w:sz w:val="26"/>
                <w:szCs w:val="26"/>
              </w:rPr>
            </w:pPr>
            <w:r>
              <w:rPr>
                <w:sz w:val="26"/>
                <w:szCs w:val="26"/>
              </w:rPr>
            </w:r>
            <w:r>
              <w:rPr>
                <w:sz w:val="26"/>
                <w:szCs w:val="26"/>
              </w:rPr>
            </w:r>
          </w:p>
        </w:tc>
        <w:tc>
          <w:tcPr>
            <w:tcW w:w="1652" w:type="dxa"/>
            <w:textDirection w:val="lrTb"/>
            <w:noWrap w:val="false"/>
          </w:tcPr>
          <w:p>
            <w:pPr>
              <w:widowControl w:val="off"/>
              <w:rPr>
                <w:sz w:val="26"/>
                <w:szCs w:val="26"/>
              </w:rPr>
            </w:pPr>
            <w:r>
              <w:rPr>
                <w:sz w:val="26"/>
                <w:szCs w:val="26"/>
              </w:rPr>
            </w:r>
            <w:r>
              <w:rPr>
                <w:sz w:val="26"/>
                <w:szCs w:val="26"/>
              </w:rPr>
            </w:r>
          </w:p>
        </w:tc>
        <w:tc>
          <w:tcPr>
            <w:tcW w:w="298" w:type="dxa"/>
            <w:textDirection w:val="lrTb"/>
            <w:noWrap w:val="false"/>
          </w:tcPr>
          <w:p>
            <w:pPr>
              <w:widowControl w:val="off"/>
              <w:rPr>
                <w:sz w:val="26"/>
                <w:szCs w:val="26"/>
              </w:rPr>
            </w:pPr>
            <w:r>
              <w:rPr>
                <w:sz w:val="26"/>
                <w:szCs w:val="26"/>
              </w:rPr>
            </w:r>
            <w:r>
              <w:rPr>
                <w:sz w:val="26"/>
                <w:szCs w:val="26"/>
              </w:rPr>
            </w:r>
          </w:p>
        </w:tc>
        <w:tc>
          <w:tcPr>
            <w:gridSpan w:val="3"/>
            <w:tcBorders>
              <w:right w:val="single" w:color="000000" w:sz="6" w:space="0"/>
            </w:tcBorders>
            <w:tcW w:w="2852" w:type="dxa"/>
            <w:textDirection w:val="lrTb"/>
            <w:noWrap w:val="false"/>
          </w:tcPr>
          <w:p>
            <w:pPr>
              <w:jc w:val="right"/>
              <w:widowControl w:val="off"/>
              <w:rPr>
                <w:sz w:val="26"/>
                <w:szCs w:val="26"/>
              </w:rPr>
            </w:pPr>
            <w:r>
              <w:rPr>
                <w:sz w:val="26"/>
                <w:szCs w:val="26"/>
              </w:rPr>
              <w:t xml:space="preserve">Всего листов</w:t>
            </w:r>
            <w:r>
              <w:rPr>
                <w:sz w:val="26"/>
                <w:szCs w:val="26"/>
              </w:rPr>
            </w:r>
          </w:p>
        </w:tc>
        <w:tc>
          <w:tcPr>
            <w:tcBorders>
              <w:top w:val="single" w:color="000000" w:sz="6" w:space="0"/>
              <w:left w:val="single" w:color="000000" w:sz="6" w:space="0"/>
              <w:bottom w:val="single" w:color="000000" w:sz="6" w:space="0"/>
              <w:right w:val="single" w:color="000000" w:sz="6" w:space="0"/>
            </w:tcBorders>
            <w:tcW w:w="1348" w:type="dxa"/>
            <w:textDirection w:val="lrTb"/>
            <w:noWrap w:val="false"/>
          </w:tcPr>
          <w:p>
            <w:pPr>
              <w:widowControl w:val="off"/>
              <w:rPr>
                <w:sz w:val="26"/>
                <w:szCs w:val="26"/>
              </w:rPr>
            </w:pPr>
            <w:r>
              <w:rPr>
                <w:sz w:val="26"/>
                <w:szCs w:val="26"/>
              </w:rPr>
            </w:r>
            <w:r>
              <w:rPr>
                <w:sz w:val="26"/>
                <w:szCs w:val="26"/>
              </w:rPr>
            </w:r>
          </w:p>
        </w:tc>
      </w:tr>
    </w:tbl>
    <w:p>
      <w:pPr>
        <w:widowControl w:val="off"/>
      </w:pPr>
      <w:r>
        <w:t xml:space="preserve">________________ </w:t>
      </w:r>
      <w:r/>
    </w:p>
    <w:p>
      <w:pPr>
        <w:widowControl w:val="off"/>
        <w:rPr>
          <w:sz w:val="20"/>
          <w:szCs w:val="20"/>
        </w:rPr>
      </w:pPr>
      <w:r>
        <mc:AlternateContent>
          <mc:Choice Requires="wpg">
            <w:drawing>
              <wp:inline xmlns:wp="http://schemas.openxmlformats.org/drawingml/2006/wordprocessingDrawing" distT="0" distB="0" distL="0" distR="0">
                <wp:extent cx="87630" cy="230505"/>
                <wp:effectExtent l="0" t="0" r="0" b="0"/>
                <wp:docPr id="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2"/>
                        <pic:cNvPicPr>
                          <a:picLocks noChangeAspect="1"/>
                        </pic:cNvPicPr>
                        <pic:nvPr/>
                      </pic:nvPicPr>
                      <pic:blipFill>
                        <a:blip r:embed="rId44"/>
                        <a:stretch/>
                      </pic:blipFill>
                      <pic:spPr bwMode="auto">
                        <a:xfrm>
                          <a:off x="0" y="0"/>
                          <a:ext cx="87630"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90pt;height:18.15pt;mso-wrap-distance-left:0.00pt;mso-wrap-distance-top:0.00pt;mso-wrap-distance-right:0.00pt;mso-wrap-distance-bottom:0.00pt;" stroked="false">
                <v:path textboxrect="0,0,0,0"/>
                <v:imagedata r:id="rId44" o:title=""/>
              </v:shape>
            </w:pict>
          </mc:Fallback>
        </mc:AlternateContent>
      </w:r>
      <w:r>
        <w:rPr>
          <w:sz w:val="20"/>
          <w:szCs w:val="20"/>
        </w:rPr>
        <w:t xml:space="preserve">Указывается при наличии.</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3"/>
                        <pic:cNvPicPr>
                          <a:picLocks noChangeAspect="1"/>
                        </pic:cNvPicPr>
                        <pic:nvPr/>
                      </pic:nvPicPr>
                      <pic:blipFill>
                        <a:blip r:embed="rId45"/>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8.15pt;height:18.15pt;mso-wrap-distance-left:0.00pt;mso-wrap-distance-top:0.00pt;mso-wrap-distance-right:0.00pt;mso-wrap-distance-bottom:0.00pt;" stroked="false">
                <v:path textboxrect="0,0,0,0"/>
                <v:imagedata r:id="rId45" o:title=""/>
              </v:shape>
            </w:pict>
          </mc:Fallback>
        </mc:AlternateContent>
      </w:r>
      <w:r>
        <w:rPr>
          <w:sz w:val="20"/>
          <w:szCs w:val="20"/>
        </w:rPr>
        <w:t xml:space="preserve">В случае отсутствия у иностранного лица и</w:t>
      </w:r>
      <w:r>
        <w:rPr>
          <w:sz w:val="20"/>
          <w:szCs w:val="20"/>
        </w:rPr>
        <w:t xml:space="preserve">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4"/>
                        <pic:cNvPicPr>
                          <a:picLocks noChangeAspect="1"/>
                        </pic:cNvPicPr>
                        <pic:nvPr/>
                      </pic:nvPicPr>
                      <pic:blipFill>
                        <a:blip r:embed="rId46"/>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8.15pt;height:18.15pt;mso-wrap-distance-left:0.00pt;mso-wrap-distance-top:0.00pt;mso-wrap-distance-right:0.00pt;mso-wrap-distance-bottom:0.00pt;" stroked="false">
                <v:path textboxrect="0,0,0,0"/>
                <v:imagedata r:id="rId46" o:title=""/>
              </v:shape>
            </w:pict>
          </mc:Fallback>
        </mc:AlternateContent>
      </w:r>
      <w:r>
        <w:rPr>
          <w:sz w:val="20"/>
          <w:szCs w:val="20"/>
        </w:rPr>
        <w:t xml:space="preserve">Указывается, если принципал является юридическим лицом, аккредитованным филиалом или представительством иностранного юридического лица. </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5"/>
                        <pic:cNvPicPr>
                          <a:picLocks noChangeAspect="1"/>
                        </pic:cNvPicPr>
                        <pic:nvPr/>
                      </pic:nvPicPr>
                      <pic:blipFill>
                        <a:blip r:embed="rId47"/>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8.15pt;height:18.15pt;mso-wrap-distance-left:0.00pt;mso-wrap-distance-top:0.00pt;mso-wrap-distance-right:0.00pt;mso-wrap-distance-bottom:0.00pt;" stroked="false">
                <v:path textboxrect="0,0,0,0"/>
                <v:imagedata r:id="rId47" o:title=""/>
              </v:shape>
            </w:pict>
          </mc:Fallback>
        </mc:AlternateContent>
      </w:r>
      <w:r>
        <w:rPr>
          <w:sz w:val="20"/>
          <w:szCs w:val="20"/>
        </w:rPr>
        <w:t xml:space="preserve">Указывается в соответствии с извещением об осуществлении конкурентной закупки.</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6"/>
                        <pic:cNvPicPr>
                          <a:picLocks noChangeAspect="1"/>
                        </pic:cNvPicPr>
                        <pic:nvPr/>
                      </pic:nvPicPr>
                      <pic:blipFill>
                        <a:blip r:embed="rId48"/>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8.15pt;height:18.15pt;mso-wrap-distance-left:0.00pt;mso-wrap-distance-top:0.00pt;mso-wrap-distance-right:0.00pt;mso-wrap-distance-bottom:0.00pt;" stroked="false">
                <v:path textboxrect="0,0,0,0"/>
                <v:imagedata r:id="rId48" o:title=""/>
              </v:shape>
            </w:pict>
          </mc:Fallback>
        </mc:AlternateContent>
      </w:r>
      <w:r>
        <w:rPr>
          <w:sz w:val="20"/>
          <w:szCs w:val="20"/>
        </w:rPr>
        <w:t xml:space="preserve">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6"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7"/>
                        <pic:cNvPicPr>
                          <a:picLocks noChangeAspect="1"/>
                        </pic:cNvPicPr>
                        <pic:nvPr/>
                      </pic:nvPicPr>
                      <pic:blipFill>
                        <a:blip r:embed="rId49"/>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8.15pt;height:18.15pt;mso-wrap-distance-left:0.00pt;mso-wrap-distance-top:0.00pt;mso-wrap-distance-right:0.00pt;mso-wrap-distance-bottom:0.00pt;" stroked="false">
                <v:path textboxrect="0,0,0,0"/>
                <v:imagedata r:id="rId49" o:title=""/>
              </v:shape>
            </w:pict>
          </mc:Fallback>
        </mc:AlternateContent>
      </w:r>
      <w:r>
        <w:rPr>
          <w:sz w:val="20"/>
          <w:szCs w:val="20"/>
        </w:rPr>
        <w:t xml:space="preserve">Указывается почтовый адрес.</w:t>
      </w:r>
      <w:r>
        <w:rPr>
          <w:sz w:val="20"/>
          <w:szCs w:val="20"/>
        </w:rPr>
      </w:r>
    </w:p>
    <w:p>
      <w:pPr>
        <w:widowControl w:val="off"/>
        <w:rPr>
          <w:sz w:val="20"/>
          <w:szCs w:val="20"/>
        </w:rPr>
      </w:pPr>
      <w:r>
        <mc:AlternateContent>
          <mc:Choice Requires="wpg">
            <w:drawing>
              <wp:inline xmlns:wp="http://schemas.openxmlformats.org/drawingml/2006/wordprocessingDrawing" distT="0" distB="0" distL="0" distR="0">
                <wp:extent cx="103505" cy="230505"/>
                <wp:effectExtent l="0" t="0" r="0" b="0"/>
                <wp:docPr id="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8"/>
                        <pic:cNvPicPr>
                          <a:picLocks noChangeAspect="1"/>
                        </pic:cNvPicPr>
                        <pic:nvPr/>
                      </pic:nvPicPr>
                      <pic:blipFill>
                        <a:blip r:embed="rId50"/>
                        <a:stretch/>
                      </pic:blipFill>
                      <pic:spPr bwMode="auto">
                        <a:xfrm>
                          <a:off x="0" y="0"/>
                          <a:ext cx="103505" cy="230505"/>
                        </a:xfrm>
                        <a:prstGeom prst="rect">
                          <a:avLst/>
                        </a:prstGeom>
                        <a:noFill/>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8.15pt;height:18.15pt;mso-wrap-distance-left:0.00pt;mso-wrap-distance-top:0.00pt;mso-wrap-distance-right:0.00pt;mso-wrap-distance-bottom:0.00pt;" stroked="false">
                <v:path textboxrect="0,0,0,0"/>
                <v:imagedata r:id="rId50" o:title=""/>
              </v:shape>
            </w:pict>
          </mc:Fallback>
        </mc:AlternateContent>
      </w:r>
      <w:r>
        <w:rPr>
          <w:sz w:val="20"/>
          <w:szCs w:val="20"/>
        </w:rPr>
        <w:t xml:space="preserve">Указываются адрес электронной почты и (или) наименование информационной системы</w:t>
      </w:r>
      <w:r>
        <w:rPr>
          <w:sz w:val="20"/>
          <w:szCs w:val="20"/>
        </w:rPr>
      </w:r>
    </w:p>
    <w:p>
      <w:pPr>
        <w:pStyle w:val="1117"/>
        <w:ind w:left="0" w:firstLine="0"/>
        <w:tabs>
          <w:tab w:val="clear" w:pos="576" w:leader="none"/>
        </w:tabs>
        <w:rPr>
          <w:sz w:val="24"/>
          <w:szCs w:val="24"/>
        </w:rPr>
      </w:pPr>
      <w:r>
        <w:br w:type="page" w:clear="all"/>
      </w:r>
      <w:r>
        <w:rPr>
          <w:sz w:val="24"/>
          <w:szCs w:val="24"/>
        </w:rPr>
      </w:r>
    </w:p>
    <w:p>
      <w:pPr>
        <w:pStyle w:val="1117"/>
        <w:numPr>
          <w:ilvl w:val="0"/>
          <w:numId w:val="44"/>
        </w:numPr>
        <w:ind w:left="0" w:firstLine="0"/>
        <w:tabs>
          <w:tab w:val="clear" w:pos="576" w:leader="none"/>
          <w:tab w:val="left" w:pos="1418" w:leader="none"/>
          <w:tab w:val="left" w:pos="1843" w:leader="none"/>
        </w:tabs>
        <w:rPr>
          <w:sz w:val="24"/>
          <w:szCs w:val="24"/>
        </w:rPr>
      </w:pPr>
      <w:r/>
      <w:bookmarkStart w:id="784" w:name="_Toc124760998"/>
      <w:r/>
      <w:bookmarkStart w:id="785" w:name="_Toc175583318"/>
      <w:r/>
      <w:bookmarkStart w:id="786" w:name="_Toc463353581"/>
      <w:r/>
      <w:bookmarkStart w:id="787" w:name="_Toc428366445"/>
      <w:r/>
      <w:bookmarkStart w:id="788" w:name="_Toc413398105"/>
      <w:r/>
      <w:bookmarkStart w:id="789" w:name="_Toc405387476"/>
      <w:r/>
      <w:bookmarkStart w:id="790" w:name="_Toc481663127"/>
      <w:r/>
      <w:bookmarkStart w:id="791" w:name="_Toc480896972"/>
      <w:r/>
      <w:bookmarkStart w:id="792" w:name="_Toc480216617"/>
      <w:r/>
      <w:bookmarkStart w:id="793" w:name="_Toc482786015"/>
      <w:r/>
      <w:bookmarkStart w:id="794" w:name="_Toc485917031"/>
      <w:r/>
      <w:bookmarkStart w:id="795" w:name="_Toc485917469"/>
      <w:r/>
      <w:bookmarkStart w:id="796" w:name="_Toc533150743"/>
      <w:r/>
      <w:bookmarkStart w:id="797" w:name="_Toc224650015"/>
      <w:r/>
      <w:bookmarkStart w:id="798" w:name="_Toc236307239"/>
      <w:r>
        <w:rPr>
          <w:sz w:val="24"/>
          <w:szCs w:val="24"/>
        </w:rPr>
        <w:t xml:space="preserve">Согласие на обработку персональных данных</w:t>
      </w:r>
      <w:bookmarkEnd w:id="784"/>
      <w:r/>
      <w:bookmarkEnd w:id="785"/>
      <w:r/>
      <w:bookmarkEnd w:id="786"/>
      <w:r/>
      <w:bookmarkEnd w:id="787"/>
      <w:r/>
      <w:bookmarkEnd w:id="788"/>
      <w:r/>
      <w:bookmarkEnd w:id="789"/>
      <w:r/>
      <w:bookmarkEnd w:id="790"/>
      <w:r/>
      <w:bookmarkEnd w:id="791"/>
      <w:r/>
      <w:bookmarkEnd w:id="792"/>
      <w:r/>
      <w:bookmarkEnd w:id="793"/>
      <w:r/>
      <w:bookmarkEnd w:id="794"/>
      <w:r/>
      <w:bookmarkEnd w:id="795"/>
      <w:r/>
      <w:bookmarkEnd w:id="796"/>
      <w:r/>
      <w:bookmarkEnd w:id="797"/>
      <w:r/>
      <w:bookmarkEnd w:id="798"/>
      <w:r/>
      <w:r>
        <w:rPr>
          <w:sz w:val="24"/>
          <w:szCs w:val="24"/>
        </w:rPr>
      </w:r>
    </w:p>
    <w:p>
      <w:pPr>
        <w:jc w:val="center"/>
        <w:rPr>
          <w:b/>
        </w:rPr>
      </w:pPr>
      <w:r>
        <w:rPr>
          <w:b/>
        </w:rPr>
        <w:t xml:space="preserve">от «_____» ____________ 20____ г.</w:t>
      </w:r>
      <w:r>
        <w:rPr>
          <w:b/>
        </w:rPr>
      </w:r>
    </w:p>
    <w:p>
      <w:r/>
      <w:r/>
    </w:p>
    <w:p>
      <w:pPr>
        <w:ind w:firstLine="567"/>
      </w:pPr>
      <w:r>
        <w:t xml:space="preserve">Настоящим я, {указывается полностью ФИО </w:t>
      </w:r>
      <w:r>
        <w:t xml:space="preserve">участника закупочной процедуры}, паспорт {указывается серия и номер}, выдан {указывается дата выдачи, кем выдан, код подразделения}  зарегистрированный по адресу {указывается адрес регистрации}, ИНН {указывается ИНН}, дает свое согласие на совершение ПАО «</w:t>
      </w:r>
      <w:r>
        <w:t xml:space="preserve">Россети</w:t>
      </w:r>
      <w:r>
        <w:t xml:space="preserve">» и АО «</w:t>
      </w:r>
      <w:r>
        <w:t xml:space="preserve">Россети</w:t>
      </w:r>
      <w:r>
        <w:t xml:space="preserve"> Цифра», действий, предусмотренных п. 3 ч. 1 ст. 3 ФЗ «О персональных данных» от 27.07.2006 № 152-ФЗ, в отношении персональных данных</w:t>
      </w:r>
      <w:r>
        <w:t xml:space="preserve"> участника закупки (потенциального контрагента)/контрагента,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r>
        <w:t xml:space="preserve">Росфинмониторинг</w:t>
      </w:r>
      <w:r>
        <w:t xml:space="preserve"> России, ФНС России).</w:t>
      </w:r>
      <w:r/>
    </w:p>
    <w:p>
      <w:pPr>
        <w:ind w:firstLine="567"/>
      </w:pPr>
      <w:r>
        <w:t xml:space="preserve">Срок, в </w:t>
      </w:r>
      <w:r>
        <w:t xml:space="preserve">течение которого действует настоящее согласие субъекта персональных данных: со дня его подписания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r/>
    </w:p>
    <w:p>
      <w:r/>
      <w:r/>
    </w:p>
    <w:p>
      <w:r/>
      <w:r/>
    </w:p>
    <w:p>
      <w:pPr>
        <w:rPr>
          <w:sz w:val="20"/>
          <w:szCs w:val="20"/>
        </w:rPr>
      </w:pPr>
      <w:r>
        <w:rPr>
          <w:sz w:val="20"/>
          <w:szCs w:val="20"/>
        </w:rPr>
      </w:r>
      <w:r>
        <w:rPr>
          <w:sz w:val="20"/>
          <w:szCs w:val="20"/>
        </w:rPr>
      </w:r>
    </w:p>
    <w:p>
      <w:pPr>
        <w:rPr>
          <w:sz w:val="20"/>
          <w:szCs w:val="20"/>
        </w:rPr>
      </w:pPr>
      <w:r>
        <w:rPr>
          <w:sz w:val="20"/>
          <w:szCs w:val="20"/>
        </w:rPr>
        <w:t xml:space="preserve">____________________________________                             ______________________</w:t>
      </w:r>
      <w:r>
        <w:rPr>
          <w:sz w:val="20"/>
          <w:szCs w:val="20"/>
        </w:rPr>
      </w:r>
    </w:p>
    <w:p>
      <w:pPr>
        <w:rPr>
          <w:sz w:val="20"/>
          <w:szCs w:val="20"/>
        </w:rPr>
        <w:sectPr>
          <w:footerReference w:type="default" r:id="rId17"/>
          <w:footerReference w:type="even" r:id="rId18"/>
          <w:footerReference w:type="first" r:id="rId19"/>
          <w:footnotePr/>
          <w:endnotePr/>
          <w:type w:val="nextPage"/>
          <w:pgSz w:w="11906" w:h="16838" w:orient="portrait"/>
          <w:pgMar w:top="1134" w:right="851" w:bottom="1134" w:left="1701" w:header="0" w:footer="113" w:gutter="0"/>
          <w:cols w:num="1" w:sep="0" w:space="720" w:equalWidth="1"/>
          <w:docGrid w:linePitch="360"/>
        </w:sectPr>
      </w:pPr>
      <w:r>
        <w:rPr>
          <w:sz w:val="20"/>
          <w:szCs w:val="20"/>
        </w:rPr>
        <w:t xml:space="preserve">          (Подпись)           </w:t>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t xml:space="preserve"> (Ф.И.О. </w:t>
      </w:r>
      <w:r>
        <w:rPr>
          <w:sz w:val="20"/>
          <w:szCs w:val="20"/>
        </w:rPr>
        <w:t xml:space="preserve">подписавшего</w:t>
      </w:r>
      <w:r>
        <w:rPr>
          <w:sz w:val="20"/>
          <w:szCs w:val="20"/>
        </w:rPr>
        <w:t xml:space="preserve">)</w:t>
      </w:r>
      <w:r>
        <w:rPr>
          <w:sz w:val="20"/>
          <w:szCs w:val="20"/>
        </w:rPr>
        <w:tab/>
        <w:t xml:space="preserve">            </w:t>
      </w:r>
      <w:r>
        <w:rPr>
          <w:sz w:val="20"/>
          <w:szCs w:val="20"/>
        </w:rPr>
      </w:r>
    </w:p>
    <w:p>
      <w:pPr>
        <w:pStyle w:val="1117"/>
        <w:ind w:left="0" w:firstLine="0"/>
        <w:tabs>
          <w:tab w:val="clear" w:pos="576" w:leader="none"/>
          <w:tab w:val="left" w:pos="5670" w:leader="none"/>
        </w:tabs>
        <w:rPr>
          <w:sz w:val="24"/>
          <w:szCs w:val="24"/>
        </w:rPr>
      </w:pPr>
      <w:r/>
      <w:bookmarkStart w:id="799" w:name="_Toc184216658"/>
      <w:r/>
      <w:bookmarkStart w:id="800" w:name="_Toc175583317"/>
      <w:r/>
      <w:bookmarkStart w:id="801" w:name="_Toc221533969"/>
      <w:r/>
      <w:bookmarkStart w:id="802" w:name="_Toc236307240"/>
      <w:r/>
      <w:bookmarkStart w:id="803" w:name="_Toc175583316"/>
      <w:r/>
      <w:bookmarkStart w:id="804" w:name="_Toc224650013"/>
      <w:r/>
      <w:bookmarkStart w:id="805" w:name="_Toc242104523"/>
      <w:r>
        <w:rPr>
          <w:sz w:val="24"/>
          <w:szCs w:val="24"/>
        </w:rPr>
        <w:t xml:space="preserve">Форма № 5. Справка </w:t>
      </w:r>
      <w:bookmarkEnd w:id="803"/>
      <w:r>
        <w:rPr>
          <w:sz w:val="24"/>
          <w:szCs w:val="24"/>
          <w:lang w:bidi="ru-RU"/>
        </w:rPr>
        <w:t xml:space="preserve">для оценки опыта </w:t>
      </w:r>
      <w:r>
        <w:rPr>
          <w:sz w:val="24"/>
          <w:szCs w:val="24"/>
          <w:lang w:bidi="ru-RU"/>
        </w:rPr>
        <w:t xml:space="preserve">оказания аналогичных услуг</w:t>
      </w:r>
      <w:r>
        <w:rPr>
          <w:sz w:val="24"/>
          <w:szCs w:val="24"/>
          <w:lang w:bidi="ru-RU"/>
        </w:rPr>
        <w:t xml:space="preserve"> </w:t>
      </w:r>
      <w:r>
        <w:rPr>
          <w:sz w:val="24"/>
          <w:szCs w:val="24"/>
          <w:lang w:bidi="ru-RU"/>
        </w:rPr>
        <w:t xml:space="preserve">за</w:t>
      </w:r>
      <w:r>
        <w:rPr>
          <w:sz w:val="24"/>
          <w:szCs w:val="24"/>
          <w:lang w:bidi="ru-RU"/>
        </w:rPr>
        <w:t xml:space="preserve"> последние 3 года</w:t>
      </w:r>
      <w:bookmarkEnd w:id="804"/>
      <w:r/>
      <w:bookmarkEnd w:id="805"/>
      <w:r/>
      <w:r>
        <w:rPr>
          <w:sz w:val="24"/>
          <w:szCs w:val="24"/>
        </w:rPr>
      </w:r>
    </w:p>
    <w:p>
      <w:pPr>
        <w:pStyle w:val="1352"/>
        <w:ind w:left="900"/>
        <w:rPr>
          <w:sz w:val="20"/>
          <w:szCs w:val="20"/>
        </w:rPr>
      </w:pPr>
      <w:r>
        <w:rPr>
          <w:sz w:val="20"/>
          <w:szCs w:val="20"/>
        </w:rPr>
      </w:r>
      <w:r>
        <w:rPr>
          <w:sz w:val="20"/>
          <w:szCs w:val="20"/>
        </w:rPr>
      </w:r>
    </w:p>
    <w:p>
      <w:r/>
      <w:bookmarkStart w:id="806" w:name="_Toc247081595"/>
      <w:r>
        <w:t xml:space="preserve">Участник закупки: ________________________________</w:t>
      </w:r>
      <w:bookmarkEnd w:id="806"/>
      <w:r>
        <w:t xml:space="preserve">    </w:t>
      </w:r>
      <w:r/>
    </w:p>
    <w:p>
      <w:r/>
      <w:r/>
    </w:p>
    <w:tbl>
      <w:tblPr>
        <w:tblW w:w="5000" w:type="pct"/>
        <w:tblLayout w:type="fixed"/>
        <w:tblLook w:val="04A0" w:firstRow="1" w:lastRow="0" w:firstColumn="1" w:lastColumn="0" w:noHBand="0" w:noVBand="1"/>
      </w:tblPr>
      <w:tblGrid>
        <w:gridCol w:w="433"/>
        <w:gridCol w:w="1893"/>
        <w:gridCol w:w="2112"/>
        <w:gridCol w:w="1443"/>
        <w:gridCol w:w="1557"/>
        <w:gridCol w:w="2132"/>
      </w:tblGrid>
      <w:tr>
        <w:tblPrEx/>
        <w:trPr>
          <w:cantSplit/>
        </w:trPr>
        <w:tc>
          <w:tcPr>
            <w:tcBorders>
              <w:top w:val="single" w:color="000000" w:sz="4" w:space="0"/>
              <w:left w:val="single" w:color="000000" w:sz="4" w:space="0"/>
              <w:bottom w:val="single" w:color="000000" w:sz="4" w:space="0"/>
              <w:right w:val="single" w:color="000000" w:sz="4" w:space="0"/>
            </w:tcBorders>
            <w:tcW w:w="423" w:type="dxa"/>
            <w:vAlign w:val="center"/>
            <w:textDirection w:val="lrTb"/>
            <w:noWrap w:val="false"/>
          </w:tcPr>
          <w:p>
            <w:pPr>
              <w:jc w:val="left"/>
              <w:spacing w:after="0"/>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vAlign w:val="center"/>
            <w:textDirection w:val="lrTb"/>
            <w:noWrap w:val="false"/>
          </w:tcPr>
          <w:p>
            <w:pPr>
              <w:jc w:val="center"/>
              <w:rPr>
                <w:sz w:val="20"/>
                <w:szCs w:val="20"/>
              </w:rPr>
            </w:pPr>
            <w:r>
              <w:rPr>
                <w:sz w:val="20"/>
                <w:szCs w:val="20"/>
              </w:rPr>
              <w:t xml:space="preserve">Сроки выполнения (год и месяц начала выполнения - год и месяц фактического окончания выполнения)</w:t>
            </w:r>
            <w:r>
              <w:rPr>
                <w:sz w:val="20"/>
                <w:szCs w:val="20"/>
              </w:rPr>
            </w:r>
          </w:p>
        </w:tc>
        <w:tc>
          <w:tcPr>
            <w:tcBorders>
              <w:top w:val="single" w:color="000000" w:sz="4" w:space="0"/>
              <w:left w:val="single" w:color="000000" w:sz="4" w:space="0"/>
              <w:bottom w:val="single" w:color="000000" w:sz="4" w:space="0"/>
              <w:right w:val="single" w:color="000000" w:sz="4" w:space="0"/>
            </w:tcBorders>
            <w:tcW w:w="2064" w:type="dxa"/>
            <w:vAlign w:val="center"/>
            <w:textDirection w:val="lrTb"/>
            <w:noWrap w:val="false"/>
          </w:tcPr>
          <w:p>
            <w:pPr>
              <w:jc w:val="center"/>
              <w:rPr>
                <w:sz w:val="20"/>
                <w:szCs w:val="20"/>
              </w:rPr>
            </w:pPr>
            <w:r>
              <w:rPr>
                <w:sz w:val="20"/>
                <w:szCs w:val="20"/>
              </w:rPr>
              <w:t xml:space="preserve">Заказчик (наименование, адрес, контактное лицо с указанием должности, контактные телефоны)</w:t>
            </w:r>
            <w:r>
              <w:rPr>
                <w:sz w:val="20"/>
                <w:szCs w:val="20"/>
              </w:rPr>
            </w:r>
          </w:p>
        </w:tc>
        <w:tc>
          <w:tcPr>
            <w:tcBorders>
              <w:top w:val="single" w:color="000000" w:sz="4" w:space="0"/>
              <w:left w:val="single" w:color="000000" w:sz="4" w:space="0"/>
              <w:bottom w:val="single" w:color="000000" w:sz="4" w:space="0"/>
              <w:right w:val="single" w:color="000000" w:sz="4" w:space="0"/>
            </w:tcBorders>
            <w:tcW w:w="1410" w:type="dxa"/>
            <w:vAlign w:val="center"/>
            <w:textDirection w:val="lrTb"/>
            <w:noWrap w:val="false"/>
          </w:tcPr>
          <w:p>
            <w:pPr>
              <w:jc w:val="center"/>
              <w:rPr>
                <w:sz w:val="20"/>
                <w:szCs w:val="20"/>
              </w:rPr>
            </w:pPr>
            <w:r>
              <w:rPr>
                <w:sz w:val="20"/>
                <w:szCs w:val="20"/>
              </w:rPr>
              <w:t xml:space="preserve">Описание договора (состав работ, услуг)</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vAlign w:val="center"/>
            <w:textDirection w:val="lrTb"/>
            <w:noWrap w:val="false"/>
          </w:tcPr>
          <w:p>
            <w:pPr>
              <w:ind w:firstLine="4"/>
              <w:jc w:val="center"/>
              <w:rPr>
                <w:sz w:val="20"/>
                <w:szCs w:val="20"/>
              </w:rPr>
            </w:pPr>
            <w:r>
              <w:rPr>
                <w:sz w:val="20"/>
                <w:szCs w:val="20"/>
              </w:rPr>
              <w:t xml:space="preserve">Сумма </w:t>
            </w:r>
            <w:r>
              <w:rPr>
                <w:sz w:val="20"/>
                <w:szCs w:val="20"/>
              </w:rPr>
              <w:t xml:space="preserve">услуг по договору</w:t>
            </w:r>
            <w:r>
              <w:rPr>
                <w:sz w:val="20"/>
                <w:szCs w:val="20"/>
              </w:rPr>
              <w:t xml:space="preserve">, руб.</w:t>
            </w:r>
            <w:r>
              <w:rPr>
                <w:sz w:val="20"/>
                <w:szCs w:val="20"/>
              </w:rPr>
            </w:r>
          </w:p>
        </w:tc>
        <w:tc>
          <w:tcPr>
            <w:tcBorders>
              <w:top w:val="single" w:color="000000" w:sz="4" w:space="0"/>
              <w:left w:val="single" w:color="000000" w:sz="4" w:space="0"/>
              <w:bottom w:val="single" w:color="000000" w:sz="4" w:space="0"/>
              <w:right w:val="single" w:color="000000" w:sz="4" w:space="0"/>
            </w:tcBorders>
            <w:tcW w:w="2084" w:type="dxa"/>
            <w:vAlign w:val="center"/>
            <w:textDirection w:val="lrTb"/>
            <w:noWrap w:val="false"/>
          </w:tcPr>
          <w:p>
            <w:pPr>
              <w:ind w:firstLine="4"/>
              <w:jc w:val="center"/>
              <w:rPr>
                <w:sz w:val="20"/>
                <w:szCs w:val="20"/>
              </w:rPr>
            </w:pPr>
            <w:r>
              <w:rPr>
                <w:sz w:val="20"/>
                <w:szCs w:val="20"/>
              </w:rPr>
              <w:t xml:space="preserve">Сведения о рекламациях по перечисленным договорам</w:t>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239"/>
              <w:rPr>
                <w:sz w:val="20"/>
                <w:szCs w:val="20"/>
              </w:rPr>
            </w:pPr>
            <w:r>
              <w:rPr>
                <w:sz w:val="20"/>
                <w:szCs w:val="20"/>
              </w:rPr>
              <w:t xml:space="preserve">1.</w:t>
            </w:r>
            <w:r>
              <w:rPr>
                <w:sz w:val="20"/>
                <w:szCs w:val="20"/>
              </w:rPr>
            </w:r>
          </w:p>
        </w:tc>
        <w:tc>
          <w:tcPr>
            <w:gridSpan w:val="3"/>
            <w:tcBorders>
              <w:top w:val="single" w:color="000000" w:sz="4" w:space="0"/>
              <w:left w:val="single" w:color="000000" w:sz="4" w:space="0"/>
              <w:bottom w:val="single" w:color="000000" w:sz="4" w:space="0"/>
              <w:right w:val="single" w:color="000000" w:sz="4" w:space="0"/>
            </w:tcBorders>
            <w:tcW w:w="5324" w:type="dxa"/>
            <w:textDirection w:val="lrTb"/>
            <w:noWrap w:val="false"/>
          </w:tcPr>
          <w:p>
            <w:pPr>
              <w:rPr>
                <w:sz w:val="20"/>
                <w:szCs w:val="20"/>
              </w:rPr>
            </w:pPr>
            <w:r>
              <w:rPr>
                <w:sz w:val="20"/>
                <w:szCs w:val="20"/>
              </w:rPr>
              <w:t xml:space="preserve">Договор 1</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i/>
                <w:sz w:val="20"/>
                <w:szCs w:val="20"/>
              </w:rPr>
            </w:pPr>
            <w:r>
              <w:rPr>
                <w:i/>
                <w:sz w:val="20"/>
                <w:szCs w:val="20"/>
              </w:rPr>
            </w:r>
            <w:r>
              <w:rPr>
                <w:i/>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97"/>
              <w:rPr>
                <w:sz w:val="20"/>
                <w:szCs w:val="20"/>
              </w:rPr>
            </w:pPr>
            <w:r>
              <w:rPr>
                <w:sz w:val="20"/>
                <w:szCs w:val="20"/>
              </w:rPr>
              <w:t xml:space="preserve">2.</w:t>
            </w:r>
            <w:r>
              <w:rPr>
                <w:sz w:val="20"/>
                <w:szCs w:val="20"/>
              </w:rPr>
            </w:r>
          </w:p>
        </w:tc>
        <w:tc>
          <w:tcPr>
            <w:gridSpan w:val="3"/>
            <w:tcBorders>
              <w:top w:val="single" w:color="000000" w:sz="4" w:space="0"/>
              <w:left w:val="single" w:color="000000" w:sz="4" w:space="0"/>
              <w:bottom w:val="single" w:color="000000" w:sz="4" w:space="0"/>
              <w:right w:val="single" w:color="000000" w:sz="4" w:space="0"/>
            </w:tcBorders>
            <w:tcW w:w="5324" w:type="dxa"/>
            <w:textDirection w:val="lrTb"/>
            <w:noWrap w:val="false"/>
          </w:tcPr>
          <w:p>
            <w:pPr>
              <w:rPr>
                <w:i/>
                <w:sz w:val="20"/>
                <w:szCs w:val="20"/>
              </w:rPr>
            </w:pPr>
            <w:r>
              <w:rPr>
                <w:sz w:val="20"/>
                <w:szCs w:val="20"/>
              </w:rPr>
              <w:t xml:space="preserve">Договор 2</w:t>
            </w:r>
            <w:r>
              <w:rPr>
                <w:i/>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ind w:right="-205"/>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i/>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97"/>
              <w:rPr>
                <w:sz w:val="20"/>
                <w:szCs w:val="20"/>
              </w:rPr>
            </w:pPr>
            <w:r>
              <w:rPr>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t xml:space="preserve">Договор …</w:t>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gridSpan w:val="4"/>
            <w:tcBorders>
              <w:top w:val="single" w:color="000000" w:sz="4" w:space="0"/>
              <w:left w:val="single" w:color="000000" w:sz="4" w:space="0"/>
              <w:bottom w:val="single" w:color="000000" w:sz="4" w:space="0"/>
              <w:right w:val="single" w:color="000000" w:sz="4" w:space="0"/>
            </w:tcBorders>
            <w:tcW w:w="5747" w:type="dxa"/>
            <w:textDirection w:val="lrTb"/>
            <w:noWrap w:val="false"/>
          </w:tcPr>
          <w:p>
            <w:pPr>
              <w:rPr>
                <w:sz w:val="20"/>
                <w:szCs w:val="20"/>
              </w:rPr>
            </w:pPr>
            <w:r>
              <w:rPr>
                <w:b/>
                <w:sz w:val="20"/>
                <w:szCs w:val="20"/>
              </w:rPr>
              <w:t xml:space="preserve">ИТОГО </w:t>
            </w:r>
            <w:r>
              <w:rPr>
                <w:b/>
                <w:sz w:val="20"/>
                <w:szCs w:val="20"/>
              </w:rPr>
              <w:t xml:space="preserve">за полный год</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b/>
                <w:sz w:val="20"/>
                <w:szCs w:val="20"/>
              </w:rPr>
            </w:pPr>
            <w:r>
              <w:rPr>
                <w:b/>
                <w:sz w:val="20"/>
                <w:szCs w:val="20"/>
              </w:rPr>
            </w:r>
            <w:r>
              <w:rPr>
                <w:b/>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b/>
                <w:sz w:val="20"/>
                <w:szCs w:val="20"/>
              </w:rPr>
              <w:t xml:space="preserve">Х</w:t>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97"/>
              <w:rPr>
                <w:sz w:val="20"/>
                <w:szCs w:val="20"/>
              </w:rPr>
            </w:pPr>
            <w:r>
              <w:rPr>
                <w:sz w:val="20"/>
                <w:szCs w:val="20"/>
              </w:rPr>
              <w:t xml:space="preserve">1.</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239"/>
              <w:rPr>
                <w:sz w:val="20"/>
                <w:szCs w:val="20"/>
              </w:rPr>
            </w:pPr>
            <w:r>
              <w:rPr>
                <w:sz w:val="20"/>
                <w:szCs w:val="20"/>
              </w:rPr>
              <w:t xml:space="preserve">2.</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textDirection w:val="lrTb"/>
            <w:noWrap w:val="false"/>
          </w:tcPr>
          <w:p>
            <w:pPr>
              <w:ind w:right="-97"/>
              <w:rPr>
                <w:sz w:val="20"/>
                <w:szCs w:val="20"/>
              </w:rPr>
            </w:pPr>
            <w:r>
              <w:rPr>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gridSpan w:val="4"/>
            <w:tcBorders>
              <w:top w:val="single" w:color="000000" w:sz="4" w:space="0"/>
              <w:left w:val="single" w:color="000000" w:sz="4" w:space="0"/>
              <w:bottom w:val="single" w:color="000000" w:sz="4" w:space="0"/>
              <w:right w:val="single" w:color="000000" w:sz="4" w:space="0"/>
            </w:tcBorders>
            <w:tcW w:w="5747" w:type="dxa"/>
            <w:textDirection w:val="lrTb"/>
            <w:noWrap w:val="false"/>
          </w:tcPr>
          <w:p>
            <w:pPr>
              <w:rPr>
                <w:sz w:val="20"/>
                <w:szCs w:val="20"/>
              </w:rPr>
            </w:pPr>
            <w:r>
              <w:rPr>
                <w:b/>
                <w:sz w:val="20"/>
                <w:szCs w:val="20"/>
              </w:rPr>
              <w:t xml:space="preserve">ИТОГО </w:t>
            </w:r>
            <w:r>
              <w:rPr>
                <w:b/>
                <w:sz w:val="20"/>
                <w:szCs w:val="20"/>
              </w:rPr>
              <w:t xml:space="preserve">за полный год</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b/>
                <w:sz w:val="20"/>
                <w:szCs w:val="20"/>
              </w:rPr>
            </w:pPr>
            <w:r>
              <w:rPr>
                <w:b/>
                <w:sz w:val="20"/>
                <w:szCs w:val="20"/>
              </w:rPr>
            </w:r>
            <w:r>
              <w:rPr>
                <w:b/>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b/>
                <w:sz w:val="20"/>
                <w:szCs w:val="20"/>
              </w:rPr>
              <w:t xml:space="preserve">Х</w:t>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vAlign w:val="center"/>
            <w:textDirection w:val="lrTb"/>
            <w:noWrap w:val="false"/>
          </w:tcPr>
          <w:p>
            <w:pPr>
              <w:ind w:right="-97"/>
              <w:rPr>
                <w:sz w:val="20"/>
                <w:szCs w:val="20"/>
              </w:rPr>
            </w:pPr>
            <w:r>
              <w:rPr>
                <w:sz w:val="20"/>
                <w:szCs w:val="20"/>
              </w:rPr>
              <w:t xml:space="preserve">1.</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tcBorders>
              <w:top w:val="single" w:color="000000" w:sz="4" w:space="0"/>
              <w:left w:val="single" w:color="000000" w:sz="4" w:space="0"/>
              <w:bottom w:val="single" w:color="000000" w:sz="4" w:space="0"/>
              <w:right w:val="single" w:color="000000" w:sz="4" w:space="0"/>
            </w:tcBorders>
            <w:tcW w:w="423" w:type="dxa"/>
            <w:vAlign w:val="center"/>
            <w:textDirection w:val="lrTb"/>
            <w:noWrap w:val="false"/>
          </w:tcPr>
          <w:p>
            <w:pPr>
              <w:ind w:right="-239"/>
              <w:rPr>
                <w:sz w:val="20"/>
                <w:szCs w:val="20"/>
              </w:rPr>
            </w:pPr>
            <w:r>
              <w:rPr>
                <w:sz w:val="20"/>
                <w:szCs w:val="20"/>
              </w:rPr>
              <w:t xml:space="preserve">…</w:t>
            </w:r>
            <w:r>
              <w:rPr>
                <w:sz w:val="20"/>
                <w:szCs w:val="20"/>
              </w:rPr>
            </w:r>
          </w:p>
        </w:tc>
        <w:tc>
          <w:tcPr>
            <w:tcBorders>
              <w:top w:val="single" w:color="000000" w:sz="4" w:space="0"/>
              <w:left w:val="single" w:color="000000" w:sz="4" w:space="0"/>
              <w:bottom w:val="single" w:color="000000" w:sz="4" w:space="0"/>
              <w:right w:val="single" w:color="000000" w:sz="4" w:space="0"/>
            </w:tcBorders>
            <w:tcW w:w="185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64"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410"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sz w:val="20"/>
                <w:szCs w:val="20"/>
              </w:rPr>
            </w:pP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sz w:val="20"/>
                <w:szCs w:val="20"/>
              </w:rPr>
            </w:r>
            <w:r>
              <w:rPr>
                <w:sz w:val="20"/>
                <w:szCs w:val="20"/>
              </w:rPr>
            </w:r>
          </w:p>
        </w:tc>
      </w:tr>
      <w:tr>
        <w:tblPrEx/>
        <w:trPr>
          <w:cantSplit/>
          <w:trHeight w:val="227"/>
        </w:trPr>
        <w:tc>
          <w:tcPr>
            <w:gridSpan w:val="4"/>
            <w:tcBorders>
              <w:top w:val="single" w:color="000000" w:sz="4" w:space="0"/>
              <w:left w:val="single" w:color="000000" w:sz="4" w:space="0"/>
              <w:bottom w:val="single" w:color="000000" w:sz="4" w:space="0"/>
              <w:right w:val="single" w:color="000000" w:sz="4" w:space="0"/>
            </w:tcBorders>
            <w:tcW w:w="5747" w:type="dxa"/>
            <w:textDirection w:val="lrTb"/>
            <w:noWrap w:val="false"/>
          </w:tcPr>
          <w:p>
            <w:pPr>
              <w:rPr>
                <w:sz w:val="20"/>
                <w:szCs w:val="20"/>
              </w:rPr>
            </w:pPr>
            <w:r>
              <w:rPr>
                <w:b/>
                <w:sz w:val="20"/>
                <w:szCs w:val="20"/>
              </w:rPr>
              <w:t xml:space="preserve">ИТОГО</w:t>
            </w:r>
            <w:r>
              <w:rPr>
                <w:sz w:val="20"/>
                <w:szCs w:val="20"/>
              </w:rPr>
            </w:r>
          </w:p>
        </w:tc>
        <w:tc>
          <w:tcPr>
            <w:tcBorders>
              <w:top w:val="single" w:color="000000" w:sz="4" w:space="0"/>
              <w:left w:val="single" w:color="000000" w:sz="4" w:space="0"/>
              <w:bottom w:val="single" w:color="000000" w:sz="4" w:space="0"/>
              <w:right w:val="single" w:color="000000" w:sz="4" w:space="0"/>
            </w:tcBorders>
            <w:tcW w:w="1522" w:type="dxa"/>
            <w:textDirection w:val="lrTb"/>
            <w:noWrap w:val="false"/>
          </w:tcPr>
          <w:p>
            <w:pPr>
              <w:rPr>
                <w:b/>
                <w:sz w:val="20"/>
                <w:szCs w:val="20"/>
              </w:rPr>
            </w:pPr>
            <w:r>
              <w:rPr>
                <w:b/>
                <w:sz w:val="20"/>
                <w:szCs w:val="20"/>
              </w:rPr>
            </w:r>
            <w:r>
              <w:rPr>
                <w:b/>
                <w:sz w:val="20"/>
                <w:szCs w:val="20"/>
              </w:rPr>
            </w:r>
          </w:p>
        </w:tc>
        <w:tc>
          <w:tcPr>
            <w:tcBorders>
              <w:top w:val="single" w:color="000000" w:sz="4" w:space="0"/>
              <w:left w:val="single" w:color="000000" w:sz="4" w:space="0"/>
              <w:bottom w:val="single" w:color="000000" w:sz="4" w:space="0"/>
              <w:right w:val="single" w:color="000000" w:sz="4" w:space="0"/>
            </w:tcBorders>
            <w:tcW w:w="2084" w:type="dxa"/>
            <w:textDirection w:val="lrTb"/>
            <w:noWrap w:val="false"/>
          </w:tcPr>
          <w:p>
            <w:pPr>
              <w:rPr>
                <w:sz w:val="20"/>
                <w:szCs w:val="20"/>
              </w:rPr>
            </w:pPr>
            <w:r>
              <w:rPr>
                <w:b/>
                <w:sz w:val="20"/>
                <w:szCs w:val="20"/>
              </w:rPr>
              <w:t xml:space="preserve">Х</w:t>
            </w:r>
            <w:r>
              <w:rPr>
                <w:sz w:val="20"/>
                <w:szCs w:val="20"/>
              </w:rPr>
            </w:r>
          </w:p>
        </w:tc>
      </w:tr>
    </w:tbl>
    <w:p>
      <w:r>
        <w:t xml:space="preserve">                    </w:t>
      </w:r>
      <w:r/>
    </w:p>
    <w:p>
      <w:r>
        <w:t xml:space="preserve">___________________________________                 ______________________</w:t>
      </w:r>
      <w:r/>
    </w:p>
    <w:p>
      <w:pPr>
        <w:rPr>
          <w:vertAlign w:val="superscript"/>
        </w:rPr>
      </w:pPr>
      <w:r>
        <w:t xml:space="preserve"> </w:t>
      </w:r>
      <w:r>
        <w:rPr>
          <w:vertAlign w:val="superscript"/>
        </w:rPr>
        <w:t xml:space="preserve">(Подпись уполномоченного представителя)                                                  (Имя и должность подписавшего)</w:t>
      </w:r>
      <w:r>
        <w:rPr>
          <w:vertAlign w:val="superscript"/>
        </w:rPr>
      </w:r>
    </w:p>
    <w:p>
      <w:pPr>
        <w:rPr>
          <w:b/>
          <w:bCs/>
        </w:rPr>
      </w:pPr>
      <w:r/>
      <w:bookmarkStart w:id="807" w:name="_Toc247081596"/>
      <w:r>
        <w:rPr>
          <w:b/>
          <w:bCs/>
        </w:rPr>
        <w:t xml:space="preserve">М.П.</w:t>
      </w:r>
      <w:bookmarkEnd w:id="807"/>
      <w:r/>
      <w:r>
        <w:rPr>
          <w:b/>
          <w:bCs/>
        </w:rPr>
      </w:r>
    </w:p>
    <w:p>
      <w:pPr>
        <w:rPr>
          <w:b/>
          <w:bCs/>
        </w:rPr>
      </w:pPr>
      <w:r>
        <w:rPr>
          <w:b/>
          <w:bCs/>
        </w:rPr>
      </w:r>
      <w:r>
        <w:rPr>
          <w:b/>
          <w:bCs/>
        </w:rPr>
      </w:r>
    </w:p>
    <w:p>
      <w:pPr>
        <w:rPr>
          <w:b/>
          <w:bCs/>
          <w:sz w:val="20"/>
        </w:rPr>
      </w:pPr>
      <w:r/>
      <w:bookmarkStart w:id="808" w:name="_Toc247081597"/>
      <w:r/>
      <w:bookmarkStart w:id="809" w:name="_Toc98251776"/>
      <w:r>
        <w:rPr>
          <w:b/>
          <w:bCs/>
          <w:sz w:val="20"/>
        </w:rPr>
        <w:t xml:space="preserve">Инструкции по заполнению</w:t>
      </w:r>
      <w:bookmarkEnd w:id="808"/>
      <w:r/>
      <w:bookmarkEnd w:id="809"/>
      <w:r/>
      <w:r>
        <w:rPr>
          <w:b/>
          <w:bCs/>
          <w:sz w:val="20"/>
        </w:rPr>
      </w:r>
    </w:p>
    <w:p>
      <w:pPr>
        <w:pStyle w:val="1352"/>
        <w:numPr>
          <w:ilvl w:val="0"/>
          <w:numId w:val="63"/>
        </w:numPr>
        <w:ind w:left="0" w:firstLine="567"/>
        <w:jc w:val="both"/>
        <w:tabs>
          <w:tab w:val="left" w:pos="0" w:leader="none"/>
          <w:tab w:val="left" w:pos="993" w:leader="none"/>
        </w:tabs>
        <w:rPr>
          <w:sz w:val="20"/>
        </w:rPr>
      </w:pPr>
      <w:r>
        <w:rPr>
          <w:sz w:val="20"/>
        </w:rPr>
        <w:t xml:space="preserve">Данные инструкции не следует воспроизводить в документах, подготовленных Участником з</w:t>
      </w:r>
      <w:r>
        <w:rPr>
          <w:sz w:val="20"/>
        </w:rPr>
        <w:t xml:space="preserve">а</w:t>
      </w:r>
      <w:r>
        <w:rPr>
          <w:sz w:val="20"/>
        </w:rPr>
        <w:t xml:space="preserve">купки.</w:t>
      </w:r>
      <w:r>
        <w:rPr>
          <w:sz w:val="20"/>
        </w:rPr>
      </w:r>
    </w:p>
    <w:p>
      <w:pPr>
        <w:pStyle w:val="1352"/>
        <w:numPr>
          <w:ilvl w:val="0"/>
          <w:numId w:val="63"/>
        </w:numPr>
        <w:ind w:left="0" w:firstLine="567"/>
        <w:jc w:val="both"/>
        <w:tabs>
          <w:tab w:val="left" w:pos="0" w:leader="none"/>
          <w:tab w:val="left" w:pos="993" w:leader="none"/>
        </w:tabs>
        <w:rPr>
          <w:sz w:val="20"/>
        </w:rPr>
      </w:pPr>
      <w:r>
        <w:rPr>
          <w:sz w:val="20"/>
        </w:rPr>
        <w:t xml:space="preserve">Участник конкурса может самостоятельно выбрать договоры, которые, по его мнению, наилу</w:t>
      </w:r>
      <w:r>
        <w:rPr>
          <w:sz w:val="20"/>
        </w:rPr>
        <w:t xml:space="preserve">ч</w:t>
      </w:r>
      <w:r>
        <w:rPr>
          <w:sz w:val="20"/>
        </w:rPr>
        <w:t xml:space="preserve">шим образом характеризует его опыт. </w:t>
      </w:r>
      <w:r>
        <w:rPr>
          <w:sz w:val="20"/>
        </w:rPr>
      </w:r>
    </w:p>
    <w:p>
      <w:pPr>
        <w:pStyle w:val="1352"/>
        <w:numPr>
          <w:ilvl w:val="0"/>
          <w:numId w:val="63"/>
        </w:numPr>
        <w:ind w:left="0" w:firstLine="567"/>
        <w:jc w:val="both"/>
        <w:tabs>
          <w:tab w:val="left" w:pos="0" w:leader="none"/>
          <w:tab w:val="left" w:pos="993" w:leader="none"/>
        </w:tabs>
        <w:rPr>
          <w:sz w:val="20"/>
        </w:rPr>
        <w:sectPr>
          <w:footerReference w:type="default" r:id="rId20"/>
          <w:footerReference w:type="even" r:id="rId21"/>
          <w:footerReference w:type="first" r:id="rId22"/>
          <w:footnotePr/>
          <w:endnotePr/>
          <w:type w:val="nextPage"/>
          <w:pgSz w:w="11906" w:h="16838" w:orient="portrait"/>
          <w:pgMar w:top="1134" w:right="851" w:bottom="1134" w:left="1701" w:header="0" w:footer="113" w:gutter="0"/>
          <w:cols w:num="1" w:sep="0" w:space="720" w:equalWidth="1"/>
          <w:docGrid w:linePitch="360"/>
        </w:sectPr>
      </w:pPr>
      <w:r>
        <w:rPr>
          <w:sz w:val="20"/>
        </w:rPr>
        <w:t xml:space="preserve">Для подтверждения информации, указанной Участниками в данной форме в составе заявки м</w:t>
      </w:r>
      <w:r>
        <w:rPr>
          <w:sz w:val="20"/>
        </w:rPr>
        <w:t xml:space="preserve">о</w:t>
      </w:r>
      <w:r>
        <w:rPr>
          <w:sz w:val="20"/>
        </w:rPr>
        <w:t xml:space="preserve">гут быть представлены копии документов по исполнению выполненных договоров (копий контрактов (дог</w:t>
      </w:r>
      <w:r>
        <w:rPr>
          <w:sz w:val="20"/>
        </w:rPr>
        <w:t xml:space="preserve">о</w:t>
      </w:r>
      <w:r>
        <w:rPr>
          <w:sz w:val="20"/>
        </w:rPr>
        <w:t xml:space="preserve">воров), копий актов приемки выполненных работ и т.п.)</w:t>
      </w:r>
      <w:r>
        <w:rPr>
          <w:sz w:val="20"/>
          <w:szCs w:val="20"/>
        </w:rPr>
        <w:t xml:space="preserve">.</w:t>
      </w:r>
      <w:r>
        <w:rPr>
          <w:sz w:val="20"/>
        </w:rPr>
      </w:r>
    </w:p>
    <w:p>
      <w:pPr>
        <w:pStyle w:val="1117"/>
        <w:ind w:left="0" w:firstLine="0"/>
        <w:tabs>
          <w:tab w:val="clear" w:pos="576" w:leader="none"/>
          <w:tab w:val="left" w:pos="708" w:leader="none"/>
        </w:tabs>
        <w:rPr>
          <w:sz w:val="24"/>
          <w:szCs w:val="24"/>
        </w:rPr>
      </w:pPr>
      <w:r>
        <w:rPr>
          <w:bCs w:val="0"/>
          <w:sz w:val="24"/>
          <w:szCs w:val="24"/>
        </w:rPr>
        <w:t xml:space="preserve">Форма № </w:t>
      </w:r>
      <w:r>
        <w:rPr>
          <w:bCs w:val="0"/>
          <w:sz w:val="24"/>
          <w:szCs w:val="24"/>
        </w:rPr>
        <w:t xml:space="preserve">6</w:t>
      </w:r>
      <w:r>
        <w:rPr>
          <w:bCs w:val="0"/>
          <w:sz w:val="24"/>
          <w:szCs w:val="24"/>
        </w:rPr>
        <w:t xml:space="preserve">. Справка о наличии кадровых ресурсов</w:t>
      </w:r>
      <w:bookmarkEnd w:id="799"/>
      <w:r/>
      <w:bookmarkEnd w:id="800"/>
      <w:r/>
      <w:bookmarkEnd w:id="801"/>
      <w:r/>
      <w:bookmarkEnd w:id="802"/>
      <w:r/>
      <w:r>
        <w:rPr>
          <w:sz w:val="24"/>
          <w:szCs w:val="24"/>
        </w:rPr>
      </w:r>
    </w:p>
    <w:p>
      <w:pPr>
        <w:rPr>
          <w:i/>
        </w:rPr>
      </w:pPr>
      <w:r>
        <w:t xml:space="preserve">Участник закупки: ________________________________                        </w:t>
      </w:r>
      <w:r>
        <w:rPr>
          <w:i/>
        </w:rPr>
      </w:r>
    </w:p>
    <w:p>
      <w:r/>
      <w:r/>
    </w:p>
    <w:tbl>
      <w:tblPr>
        <w:tblW w:w="5000" w:type="pct"/>
        <w:tblLayout w:type="fixed"/>
        <w:tblLook w:val="04A0" w:firstRow="1" w:lastRow="0" w:firstColumn="1" w:lastColumn="0" w:noHBand="0" w:noVBand="1"/>
      </w:tblPr>
      <w:tblGrid>
        <w:gridCol w:w="946"/>
        <w:gridCol w:w="3762"/>
        <w:gridCol w:w="902"/>
        <w:gridCol w:w="2242"/>
        <w:gridCol w:w="1718"/>
      </w:tblGrid>
      <w:tr>
        <w:tblPrEx/>
        <w:trPr>
          <w:trHeight w:val="551"/>
          <w:tblHeader/>
        </w:trPr>
        <w:tc>
          <w:tcPr>
            <w:tcBorders>
              <w:top w:val="single" w:color="000000" w:sz="6" w:space="0"/>
              <w:left w:val="single" w:color="000000" w:sz="6" w:space="0"/>
              <w:bottom w:val="single" w:color="000000" w:sz="6" w:space="0"/>
              <w:right w:val="single" w:color="000000" w:sz="6" w:space="0"/>
            </w:tcBorders>
            <w:tcW w:w="925" w:type="dxa"/>
            <w:vAlign w:val="center"/>
            <w:textDirection w:val="lrTb"/>
            <w:noWrap w:val="false"/>
          </w:tcPr>
          <w:p>
            <w:pPr>
              <w:rPr>
                <w:sz w:val="20"/>
                <w:szCs w:val="20"/>
              </w:rPr>
            </w:pPr>
            <w:r>
              <w:rPr>
                <w:sz w:val="20"/>
                <w:szCs w:val="20"/>
              </w:rPr>
              <w:t xml:space="preserve">№</w:t>
            </w:r>
            <w:r>
              <w:rPr>
                <w:sz w:val="20"/>
                <w:szCs w:val="20"/>
              </w:rPr>
            </w:r>
          </w:p>
        </w:tc>
        <w:tc>
          <w:tcPr>
            <w:tcBorders>
              <w:top w:val="single" w:color="000000" w:sz="6" w:space="0"/>
              <w:left w:val="single" w:color="000000" w:sz="6" w:space="0"/>
              <w:bottom w:val="single" w:color="000000" w:sz="6" w:space="0"/>
              <w:right w:val="single" w:color="000000" w:sz="6" w:space="0"/>
            </w:tcBorders>
            <w:tcW w:w="3677" w:type="dxa"/>
            <w:vAlign w:val="center"/>
            <w:textDirection w:val="lrTb"/>
            <w:noWrap w:val="false"/>
          </w:tcPr>
          <w:p>
            <w:pPr>
              <w:jc w:val="center"/>
              <w:rPr>
                <w:sz w:val="20"/>
                <w:szCs w:val="20"/>
              </w:rPr>
            </w:pPr>
            <w:r>
              <w:rPr>
                <w:sz w:val="20"/>
                <w:szCs w:val="20"/>
              </w:rPr>
              <w:t xml:space="preserve">Персонал, (специальность, разряд)</w:t>
            </w:r>
            <w:r>
              <w:rPr>
                <w:sz w:val="20"/>
                <w:szCs w:val="20"/>
              </w:rP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jc w:val="center"/>
              <w:rPr>
                <w:sz w:val="20"/>
                <w:szCs w:val="20"/>
              </w:rPr>
            </w:pPr>
            <w:r>
              <w:rPr>
                <w:sz w:val="20"/>
                <w:szCs w:val="20"/>
              </w:rPr>
              <w:t xml:space="preserve">Кол-во, чел.</w:t>
            </w:r>
            <w:r>
              <w:rPr>
                <w:sz w:val="20"/>
                <w:szCs w:val="20"/>
              </w:rPr>
            </w:r>
          </w:p>
        </w:tc>
        <w:tc>
          <w:tcPr>
            <w:tcBorders>
              <w:top w:val="single" w:color="000000" w:sz="6" w:space="0"/>
              <w:left w:val="single" w:color="000000" w:sz="6" w:space="0"/>
              <w:bottom w:val="single" w:color="000000" w:sz="6" w:space="0"/>
              <w:right w:val="single" w:color="000000" w:sz="6" w:space="0"/>
            </w:tcBorders>
            <w:tcW w:w="2191" w:type="dxa"/>
            <w:vAlign w:val="center"/>
            <w:textDirection w:val="lrTb"/>
            <w:noWrap w:val="false"/>
          </w:tcPr>
          <w:p>
            <w:pPr>
              <w:jc w:val="center"/>
              <w:rPr>
                <w:sz w:val="20"/>
                <w:szCs w:val="20"/>
              </w:rPr>
            </w:pPr>
            <w:r>
              <w:rPr>
                <w:sz w:val="20"/>
                <w:szCs w:val="20"/>
              </w:rPr>
              <w:t xml:space="preserve">Подтверждающие документы</w:t>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jc w:val="center"/>
              <w:rPr>
                <w:sz w:val="20"/>
                <w:szCs w:val="20"/>
              </w:rPr>
            </w:pPr>
            <w:r>
              <w:rPr>
                <w:sz w:val="20"/>
                <w:szCs w:val="20"/>
              </w:rPr>
              <w:t xml:space="preserve">Примечания</w:t>
            </w:r>
            <w:r>
              <w:rPr>
                <w:sz w:val="20"/>
                <w:szCs w:val="20"/>
              </w:rPr>
            </w:r>
          </w:p>
        </w:tc>
      </w:tr>
      <w:tr>
        <w:tblPrEx/>
        <w:trPr>
          <w:trHeight w:val="227"/>
        </w:trPr>
        <w:tc>
          <w:tcPr>
            <w:tcBorders>
              <w:top w:val="single" w:color="000000" w:sz="6" w:space="0"/>
              <w:left w:val="single" w:color="000000" w:sz="6" w:space="0"/>
              <w:bottom w:val="single" w:color="000000" w:sz="6" w:space="0"/>
              <w:right w:val="single" w:color="000000" w:sz="6" w:space="0"/>
            </w:tcBorders>
            <w:tcW w:w="925" w:type="dxa"/>
            <w:textDirection w:val="lrTb"/>
            <w:noWrap w:val="false"/>
          </w:tcPr>
          <w:p>
            <w:pPr>
              <w:ind w:left="-42" w:right="-28"/>
              <w:spacing w:after="0"/>
              <w:rPr>
                <w:color w:val="000000"/>
                <w:sz w:val="22"/>
                <w:szCs w:val="22"/>
                <w:lang w:val="en-US"/>
              </w:rPr>
            </w:pPr>
            <w:r>
              <w:rPr>
                <w:color w:val="000000"/>
                <w:sz w:val="22"/>
                <w:szCs w:val="22"/>
                <w:lang w:val="en-US"/>
              </w:rPr>
              <w:t xml:space="preserve">1</w:t>
            </w:r>
            <w:r>
              <w:rPr>
                <w:color w:val="000000"/>
                <w:sz w:val="22"/>
                <w:szCs w:val="22"/>
                <w:lang w:val="en-US"/>
              </w:rPr>
            </w:r>
          </w:p>
        </w:tc>
        <w:tc>
          <w:tcPr>
            <w:tcBorders>
              <w:top w:val="single" w:color="000000" w:sz="6" w:space="0"/>
              <w:left w:val="single" w:color="000000" w:sz="6" w:space="0"/>
              <w:bottom w:val="single" w:color="000000" w:sz="6" w:space="0"/>
              <w:right w:val="single" w:color="000000" w:sz="6" w:space="0"/>
            </w:tcBorders>
            <w:tcW w:w="3677" w:type="dxa"/>
            <w:textDirection w:val="lrTb"/>
            <w:noWrap w:val="false"/>
          </w:tcPr>
          <w:p>
            <w:pPr>
              <w:rPr>
                <w:sz w:val="22"/>
                <w:szCs w:val="22"/>
              </w:rPr>
            </w:pPr>
            <w:r>
              <w:rPr>
                <w:sz w:val="22"/>
                <w:szCs w:val="22"/>
              </w:rPr>
            </w:r>
            <w:r>
              <w:rPr>
                <w:sz w:val="22"/>
                <w:szCs w:val="22"/>
              </w:rP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2191" w:type="dxa"/>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rPr>
                <w:sz w:val="20"/>
                <w:szCs w:val="20"/>
              </w:rPr>
            </w:pPr>
            <w:r>
              <w:rPr>
                <w:sz w:val="20"/>
                <w:szCs w:val="20"/>
              </w:rPr>
            </w:r>
            <w:r>
              <w:rPr>
                <w:sz w:val="20"/>
                <w:szCs w:val="20"/>
              </w:rPr>
            </w:r>
          </w:p>
        </w:tc>
      </w:tr>
      <w:tr>
        <w:tblPrEx/>
        <w:trPr>
          <w:trHeight w:val="227"/>
        </w:trPr>
        <w:tc>
          <w:tcPr>
            <w:tcBorders>
              <w:top w:val="single" w:color="000000" w:sz="6" w:space="0"/>
              <w:left w:val="single" w:color="000000" w:sz="6" w:space="0"/>
              <w:bottom w:val="single" w:color="000000" w:sz="6" w:space="0"/>
              <w:right w:val="single" w:color="000000" w:sz="6" w:space="0"/>
            </w:tcBorders>
            <w:tcW w:w="925" w:type="dxa"/>
            <w:textDirection w:val="lrTb"/>
            <w:noWrap w:val="false"/>
          </w:tcPr>
          <w:p>
            <w:pPr>
              <w:ind w:left="-42" w:right="-28"/>
              <w:spacing w:after="0"/>
              <w:rPr>
                <w:color w:val="000000"/>
                <w:sz w:val="22"/>
                <w:szCs w:val="22"/>
                <w:lang w:val="en-US"/>
              </w:rPr>
            </w:pPr>
            <w:r>
              <w:rPr>
                <w:color w:val="000000"/>
                <w:sz w:val="22"/>
                <w:szCs w:val="22"/>
                <w:lang w:val="en-US"/>
              </w:rPr>
              <w:t xml:space="preserve">2</w:t>
            </w:r>
            <w:r>
              <w:rPr>
                <w:color w:val="000000"/>
                <w:sz w:val="22"/>
                <w:szCs w:val="22"/>
                <w:lang w:val="en-US"/>
              </w:rPr>
            </w:r>
          </w:p>
        </w:tc>
        <w:tc>
          <w:tcPr>
            <w:tcBorders>
              <w:top w:val="single" w:color="000000" w:sz="6" w:space="0"/>
              <w:left w:val="single" w:color="000000" w:sz="6" w:space="0"/>
              <w:bottom w:val="single" w:color="000000" w:sz="6" w:space="0"/>
              <w:right w:val="single" w:color="000000" w:sz="6" w:space="0"/>
            </w:tcBorders>
            <w:tcW w:w="3677" w:type="dxa"/>
            <w:textDirection w:val="lrTb"/>
            <w:noWrap w:val="false"/>
          </w:tcPr>
          <w:p>
            <w:pPr>
              <w:rPr>
                <w:sz w:val="22"/>
                <w:szCs w:val="22"/>
              </w:rPr>
            </w:pPr>
            <w:r>
              <w:rPr>
                <w:sz w:val="22"/>
                <w:szCs w:val="22"/>
              </w:rPr>
            </w:r>
            <w:r>
              <w:rPr>
                <w:sz w:val="22"/>
                <w:szCs w:val="22"/>
              </w:rP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2191" w:type="dxa"/>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rPr>
                <w:sz w:val="20"/>
                <w:szCs w:val="20"/>
              </w:rPr>
            </w:pPr>
            <w:r>
              <w:rPr>
                <w:sz w:val="20"/>
                <w:szCs w:val="20"/>
              </w:rPr>
            </w:r>
            <w:r>
              <w:rPr>
                <w:sz w:val="20"/>
                <w:szCs w:val="20"/>
              </w:rPr>
            </w:r>
          </w:p>
        </w:tc>
      </w:tr>
      <w:tr>
        <w:tblPrEx/>
        <w:trPr>
          <w:trHeight w:val="227"/>
        </w:trPr>
        <w:tc>
          <w:tcPr>
            <w:tcBorders>
              <w:top w:val="single" w:color="000000" w:sz="6" w:space="0"/>
              <w:left w:val="single" w:color="000000" w:sz="6" w:space="0"/>
              <w:bottom w:val="single" w:color="000000" w:sz="6" w:space="0"/>
              <w:right w:val="single" w:color="000000" w:sz="6" w:space="0"/>
            </w:tcBorders>
            <w:tcW w:w="925" w:type="dxa"/>
            <w:textDirection w:val="lrTb"/>
            <w:noWrap w:val="false"/>
          </w:tcPr>
          <w:p>
            <w:pPr>
              <w:ind w:left="-42" w:right="-28"/>
              <w:spacing w:after="0"/>
              <w:rPr>
                <w:color w:val="000000"/>
                <w:sz w:val="22"/>
                <w:szCs w:val="22"/>
              </w:rPr>
            </w:pPr>
            <w:r>
              <w:rPr>
                <w:color w:val="000000"/>
                <w:sz w:val="22"/>
                <w:szCs w:val="22"/>
              </w:rPr>
              <w:t xml:space="preserve">3</w:t>
            </w:r>
            <w:r>
              <w:rPr>
                <w:color w:val="000000"/>
                <w:sz w:val="22"/>
                <w:szCs w:val="22"/>
              </w:rPr>
            </w:r>
          </w:p>
        </w:tc>
        <w:tc>
          <w:tcPr>
            <w:tcBorders>
              <w:top w:val="single" w:color="000000" w:sz="6" w:space="0"/>
              <w:left w:val="single" w:color="000000" w:sz="6" w:space="0"/>
              <w:bottom w:val="single" w:color="000000" w:sz="6" w:space="0"/>
              <w:right w:val="single" w:color="000000" w:sz="6" w:space="0"/>
            </w:tcBorders>
            <w:tcW w:w="3677" w:type="dxa"/>
            <w:textDirection w:val="lrTb"/>
            <w:noWrap w:val="false"/>
          </w:tcPr>
          <w:p>
            <w:pPr>
              <w:rPr>
                <w:sz w:val="22"/>
                <w:szCs w:val="22"/>
              </w:rPr>
            </w:pPr>
            <w:r>
              <w:rPr>
                <w:sz w:val="22"/>
                <w:szCs w:val="22"/>
              </w:rPr>
            </w:r>
            <w:r>
              <w:rPr>
                <w:sz w:val="22"/>
                <w:szCs w:val="22"/>
              </w:rP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2191" w:type="dxa"/>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rPr>
                <w:sz w:val="20"/>
                <w:szCs w:val="20"/>
              </w:rPr>
            </w:pPr>
            <w:r>
              <w:rPr>
                <w:sz w:val="20"/>
                <w:szCs w:val="20"/>
              </w:rPr>
            </w:r>
            <w:r>
              <w:rPr>
                <w:sz w:val="20"/>
                <w:szCs w:val="20"/>
              </w:rPr>
            </w:r>
          </w:p>
        </w:tc>
      </w:tr>
      <w:tr>
        <w:tblPrEx/>
        <w:trPr>
          <w:trHeight w:val="227"/>
        </w:trPr>
        <w:tc>
          <w:tcPr>
            <w:tcBorders>
              <w:top w:val="single" w:color="000000" w:sz="6" w:space="0"/>
              <w:left w:val="single" w:color="000000" w:sz="6" w:space="0"/>
              <w:bottom w:val="single" w:color="000000" w:sz="6" w:space="0"/>
              <w:right w:val="single" w:color="000000" w:sz="6" w:space="0"/>
            </w:tcBorders>
            <w:tcW w:w="925" w:type="dxa"/>
            <w:textDirection w:val="lrTb"/>
            <w:noWrap w:val="false"/>
          </w:tcPr>
          <w:p>
            <w:pPr>
              <w:ind w:left="-42" w:right="-28"/>
              <w:spacing w:after="0"/>
              <w:rPr>
                <w:color w:val="000000"/>
                <w:sz w:val="22"/>
                <w:szCs w:val="22"/>
              </w:rPr>
            </w:pPr>
            <w:r>
              <w:rPr>
                <w:color w:val="000000"/>
                <w:sz w:val="22"/>
                <w:szCs w:val="22"/>
              </w:rPr>
              <w:t xml:space="preserve">4</w:t>
            </w:r>
            <w:r>
              <w:rPr>
                <w:color w:val="000000"/>
                <w:sz w:val="22"/>
                <w:szCs w:val="22"/>
              </w:rPr>
            </w:r>
          </w:p>
        </w:tc>
        <w:tc>
          <w:tcPr>
            <w:tcBorders>
              <w:top w:val="single" w:color="000000" w:sz="6" w:space="0"/>
              <w:left w:val="single" w:color="000000" w:sz="6" w:space="0"/>
              <w:bottom w:val="single" w:color="000000" w:sz="6" w:space="0"/>
              <w:right w:val="single" w:color="000000" w:sz="6" w:space="0"/>
            </w:tcBorders>
            <w:tcW w:w="3677" w:type="dxa"/>
            <w:textDirection w:val="lrTb"/>
            <w:noWrap w:val="false"/>
          </w:tcPr>
          <w:p>
            <w:pPr>
              <w:rPr>
                <w:sz w:val="22"/>
                <w:szCs w:val="22"/>
              </w:rPr>
            </w:pPr>
            <w:r>
              <w:rPr>
                <w:sz w:val="22"/>
                <w:szCs w:val="22"/>
              </w:rPr>
            </w:r>
            <w:r>
              <w:rPr>
                <w:sz w:val="22"/>
                <w:szCs w:val="22"/>
              </w:rP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2191" w:type="dxa"/>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rPr>
                <w:sz w:val="20"/>
                <w:szCs w:val="20"/>
              </w:rPr>
            </w:pPr>
            <w:r>
              <w:rPr>
                <w:sz w:val="20"/>
                <w:szCs w:val="20"/>
              </w:rPr>
            </w:r>
            <w:r>
              <w:rPr>
                <w:sz w:val="20"/>
                <w:szCs w:val="20"/>
              </w:rPr>
            </w:r>
          </w:p>
        </w:tc>
      </w:tr>
      <w:tr>
        <w:tblPrEx/>
        <w:trPr>
          <w:trHeight w:val="227"/>
        </w:trPr>
        <w:tc>
          <w:tcPr>
            <w:tcBorders>
              <w:top w:val="single" w:color="000000" w:sz="6" w:space="0"/>
              <w:left w:val="single" w:color="000000" w:sz="6" w:space="0"/>
              <w:bottom w:val="single" w:color="000000" w:sz="6" w:space="0"/>
              <w:right w:val="single" w:color="000000" w:sz="6" w:space="0"/>
            </w:tcBorders>
            <w:tcW w:w="925" w:type="dxa"/>
            <w:textDirection w:val="lrTb"/>
            <w:noWrap w:val="false"/>
          </w:tcPr>
          <w:p>
            <w:pPr>
              <w:ind w:left="-42" w:right="-28"/>
              <w:spacing w:after="0"/>
              <w:rPr>
                <w:color w:val="000000"/>
                <w:sz w:val="22"/>
                <w:szCs w:val="22"/>
                <w:lang w:val="en-US"/>
              </w:rPr>
            </w:pPr>
            <w:r>
              <w:rPr>
                <w:color w:val="000000"/>
                <w:sz w:val="22"/>
                <w:szCs w:val="22"/>
                <w:lang w:val="en-US"/>
              </w:rPr>
            </w:r>
            <w:r>
              <w:rPr>
                <w:color w:val="000000"/>
                <w:sz w:val="22"/>
                <w:szCs w:val="22"/>
                <w:lang w:val="en-US"/>
              </w:rPr>
            </w:r>
          </w:p>
        </w:tc>
        <w:tc>
          <w:tcPr>
            <w:tcBorders>
              <w:top w:val="single" w:color="000000" w:sz="6" w:space="0"/>
              <w:left w:val="single" w:color="000000" w:sz="6" w:space="0"/>
              <w:bottom w:val="single" w:color="000000" w:sz="6" w:space="0"/>
              <w:right w:val="single" w:color="000000" w:sz="6" w:space="0"/>
            </w:tcBorders>
            <w:tcW w:w="3677" w:type="dxa"/>
            <w:textDirection w:val="lrTb"/>
            <w:noWrap w:val="false"/>
          </w:tcPr>
          <w:p>
            <w:r/>
            <w:r/>
          </w:p>
        </w:tc>
        <w:tc>
          <w:tcPr>
            <w:tcBorders>
              <w:top w:val="single" w:color="000000" w:sz="6" w:space="0"/>
              <w:left w:val="single" w:color="000000" w:sz="6" w:space="0"/>
              <w:bottom w:val="single" w:color="000000" w:sz="6" w:space="0"/>
              <w:right w:val="single" w:color="000000" w:sz="6" w:space="0"/>
            </w:tcBorders>
            <w:tcW w:w="882" w:type="dxa"/>
            <w:vAlign w:val="center"/>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2191" w:type="dxa"/>
            <w:textDirection w:val="lrTb"/>
            <w:noWrap w:val="false"/>
          </w:tcPr>
          <w:p>
            <w:pPr>
              <w:rPr>
                <w:sz w:val="20"/>
                <w:szCs w:val="20"/>
              </w:rPr>
            </w:pPr>
            <w:r>
              <w:rPr>
                <w:sz w:val="20"/>
                <w:szCs w:val="20"/>
              </w:rPr>
            </w:r>
            <w:r>
              <w:rPr>
                <w:sz w:val="20"/>
                <w:szCs w:val="20"/>
              </w:rPr>
            </w:r>
          </w:p>
        </w:tc>
        <w:tc>
          <w:tcPr>
            <w:tcBorders>
              <w:top w:val="single" w:color="000000" w:sz="6" w:space="0"/>
              <w:left w:val="single" w:color="000000" w:sz="6" w:space="0"/>
              <w:bottom w:val="single" w:color="000000" w:sz="6" w:space="0"/>
              <w:right w:val="single" w:color="000000" w:sz="6" w:space="0"/>
            </w:tcBorders>
            <w:tcW w:w="1679" w:type="dxa"/>
            <w:vAlign w:val="center"/>
            <w:textDirection w:val="lrTb"/>
            <w:noWrap w:val="false"/>
          </w:tcPr>
          <w:p>
            <w:pPr>
              <w:rPr>
                <w:sz w:val="20"/>
                <w:szCs w:val="20"/>
              </w:rPr>
            </w:pPr>
            <w:r>
              <w:rPr>
                <w:sz w:val="20"/>
                <w:szCs w:val="20"/>
              </w:rPr>
            </w:r>
            <w:r>
              <w:rPr>
                <w:sz w:val="20"/>
                <w:szCs w:val="20"/>
              </w:rPr>
            </w:r>
          </w:p>
        </w:tc>
      </w:tr>
    </w:tbl>
    <w:p>
      <w:r/>
      <w:r/>
    </w:p>
    <w:p>
      <w:r>
        <w:t xml:space="preserve">___________________________________                 ______________________</w:t>
      </w:r>
      <w:r/>
    </w:p>
    <w:p>
      <w:pPr>
        <w:rPr>
          <w:vertAlign w:val="superscript"/>
        </w:rPr>
      </w:pPr>
      <w:r>
        <w:t xml:space="preserve"> </w:t>
      </w:r>
      <w:r>
        <w:rPr>
          <w:vertAlign w:val="superscript"/>
        </w:rPr>
        <w:t xml:space="preserve">(Подпись уполномоченного представителя)                                                  (Имя и должность подписавшего)</w:t>
      </w:r>
      <w:r>
        <w:rPr>
          <w:vertAlign w:val="superscript"/>
        </w:rPr>
      </w:r>
    </w:p>
    <w:p>
      <w:pPr>
        <w:rPr>
          <w:b/>
          <w:bCs/>
        </w:rPr>
      </w:pPr>
      <w:r>
        <w:rPr>
          <w:b/>
          <w:bCs/>
        </w:rPr>
        <w:t xml:space="preserve">М.П.</w:t>
      </w:r>
      <w:r>
        <w:rPr>
          <w:b/>
          <w:bCs/>
        </w:rPr>
      </w:r>
    </w:p>
    <w:p>
      <w:pPr>
        <w:rPr>
          <w:b/>
          <w:bCs/>
          <w:sz w:val="20"/>
        </w:rPr>
      </w:pPr>
      <w:r>
        <w:rPr>
          <w:b/>
          <w:bCs/>
          <w:sz w:val="20"/>
        </w:rPr>
        <w:t xml:space="preserve">Инструкции по заполнению</w:t>
      </w:r>
      <w:r>
        <w:rPr>
          <w:b/>
          <w:bCs/>
          <w:sz w:val="20"/>
        </w:rPr>
      </w:r>
    </w:p>
    <w:p>
      <w:pPr>
        <w:pStyle w:val="1352"/>
        <w:numPr>
          <w:ilvl w:val="0"/>
          <w:numId w:val="55"/>
        </w:numPr>
        <w:ind w:left="0" w:firstLine="567"/>
        <w:jc w:val="both"/>
        <w:tabs>
          <w:tab w:val="left" w:pos="0" w:leader="none"/>
          <w:tab w:val="left" w:pos="993" w:leader="none"/>
        </w:tabs>
        <w:rPr>
          <w:sz w:val="20"/>
        </w:rPr>
      </w:pPr>
      <w:r>
        <w:rPr>
          <w:sz w:val="20"/>
        </w:rPr>
        <w:t xml:space="preserve">Данные инструкции не следует воспроизводить в документах, подготовленных Участником закупки</w:t>
      </w:r>
      <w:r>
        <w:rPr>
          <w:sz w:val="20"/>
        </w:rPr>
      </w:r>
    </w:p>
    <w:p>
      <w:pPr>
        <w:pStyle w:val="1352"/>
        <w:numPr>
          <w:ilvl w:val="0"/>
          <w:numId w:val="55"/>
        </w:numPr>
        <w:ind w:left="0" w:firstLine="567"/>
        <w:jc w:val="both"/>
        <w:tabs>
          <w:tab w:val="left" w:pos="0" w:leader="none"/>
          <w:tab w:val="left" w:pos="993" w:leader="none"/>
        </w:tabs>
        <w:rPr>
          <w:sz w:val="20"/>
        </w:rPr>
      </w:pPr>
      <w:r>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r>
        <w:rPr>
          <w:sz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r>
        <w:rPr>
          <w:sz w:val="20"/>
        </w:rPr>
      </w:r>
    </w:p>
    <w:p>
      <w:pPr>
        <w:pStyle w:val="1352"/>
        <w:numPr>
          <w:ilvl w:val="0"/>
          <w:numId w:val="56"/>
        </w:numPr>
        <w:ind w:left="0" w:firstLine="567"/>
        <w:jc w:val="both"/>
        <w:tabs>
          <w:tab w:val="left" w:pos="0" w:leader="none"/>
          <w:tab w:val="left" w:pos="993" w:leader="none"/>
        </w:tabs>
      </w:pPr>
      <w:r>
        <w:rPr>
          <w:sz w:val="20"/>
        </w:rPr>
        <w:t xml:space="preserve">В данной Справке перечисляются только те специалисты, наличие которых будет оцениваться в соответствии с порядком оценки по соответствующему критерию оценки заявок участников закупки.</w:t>
      </w:r>
      <w:r/>
    </w:p>
    <w:p>
      <w:pPr>
        <w:pStyle w:val="1352"/>
        <w:numPr>
          <w:ilvl w:val="0"/>
          <w:numId w:val="57"/>
        </w:numPr>
        <w:ind w:left="0" w:firstLine="567"/>
        <w:jc w:val="both"/>
        <w:tabs>
          <w:tab w:val="left" w:pos="0" w:leader="none"/>
          <w:tab w:val="left" w:pos="993" w:leader="none"/>
        </w:tabs>
        <w:rPr>
          <w:sz w:val="20"/>
        </w:rPr>
      </w:pPr>
      <w:r>
        <w:rPr>
          <w:sz w:val="20"/>
        </w:rPr>
        <w:t xml:space="preserve">В справке указываются сведения только о персонале необходимом для осуществления оценки заявки Участника согласно </w:t>
      </w:r>
      <w:r>
        <w:rPr>
          <w:sz w:val="20"/>
        </w:rPr>
        <w:t xml:space="preserve">п</w:t>
      </w:r>
      <w:r>
        <w:rPr>
          <w:sz w:val="20"/>
        </w:rPr>
        <w:t xml:space="preserve"> 5 Приложения 1 к части II Информационная карта закупки</w:t>
      </w:r>
      <w:r>
        <w:rPr>
          <w:sz w:val="20"/>
        </w:rPr>
      </w:r>
    </w:p>
    <w:p>
      <w:pPr>
        <w:pStyle w:val="1352"/>
        <w:numPr>
          <w:ilvl w:val="0"/>
          <w:numId w:val="58"/>
        </w:numPr>
        <w:ind w:left="0" w:firstLine="567"/>
        <w:jc w:val="both"/>
        <w:tabs>
          <w:tab w:val="left" w:pos="0" w:leader="none"/>
          <w:tab w:val="left" w:pos="993" w:leader="none"/>
        </w:tabs>
        <w:rPr>
          <w:sz w:val="20"/>
        </w:rPr>
        <w:sectPr>
          <w:footerReference w:type="default" r:id="rId23"/>
          <w:footerReference w:type="even" r:id="rId24"/>
          <w:footerReference w:type="first" r:id="rId25"/>
          <w:footnotePr/>
          <w:endnotePr/>
          <w:type w:val="nextPage"/>
          <w:pgSz w:w="11906" w:h="16838" w:orient="portrait"/>
          <w:pgMar w:top="1134" w:right="851" w:bottom="1134" w:left="1701" w:header="0" w:footer="113" w:gutter="0"/>
          <w:cols w:num="1" w:sep="0" w:space="720" w:equalWidth="1"/>
          <w:docGrid w:linePitch="360"/>
        </w:sectPr>
      </w:pPr>
      <w:r>
        <w:rPr>
          <w:sz w:val="20"/>
        </w:rPr>
        <w:t xml:space="preserve">Для подтверждения информации, указанной Участниками в данной форме, необходимо приложить подтверждающие материалы согласно п. 5 Приложения 1 к части </w:t>
      </w:r>
      <w:r>
        <w:rPr>
          <w:sz w:val="20"/>
        </w:rPr>
        <w:t xml:space="preserve">II Информационная карта закупки</w:t>
      </w:r>
      <w:r>
        <w:rPr>
          <w:sz w:val="20"/>
        </w:rPr>
        <w:t xml:space="preserve">, в том числе резюме работников по форме 6.1.</w:t>
      </w:r>
      <w:r>
        <w:rPr>
          <w:sz w:val="20"/>
        </w:rPr>
      </w:r>
    </w:p>
    <w:p>
      <w:pPr>
        <w:pStyle w:val="1117"/>
        <w:numPr>
          <w:ilvl w:val="0"/>
          <w:numId w:val="64"/>
        </w:numPr>
        <w:ind w:left="0" w:firstLine="0"/>
        <w:tabs>
          <w:tab w:val="left" w:pos="1276" w:leader="none"/>
        </w:tabs>
        <w:rPr>
          <w:sz w:val="24"/>
          <w:szCs w:val="24"/>
        </w:rPr>
      </w:pPr>
      <w:r/>
      <w:bookmarkStart w:id="810" w:name="_Toc233285647"/>
      <w:r/>
      <w:bookmarkStart w:id="811" w:name="_Toc228956211"/>
      <w:r/>
      <w:bookmarkStart w:id="812" w:name="_Toc227082107"/>
      <w:r/>
      <w:bookmarkStart w:id="813" w:name="_Toc222155411"/>
      <w:r/>
      <w:bookmarkStart w:id="814" w:name="_Toc216694974"/>
      <w:r/>
      <w:bookmarkStart w:id="815" w:name="_Toc177033637"/>
      <w:r/>
      <w:bookmarkStart w:id="816" w:name="_Toc142048087"/>
      <w:r/>
      <w:bookmarkStart w:id="817" w:name="_Toc129084536"/>
      <w:r/>
      <w:bookmarkStart w:id="818" w:name="_Toc119873993"/>
      <w:r/>
      <w:bookmarkStart w:id="819" w:name="_Toc85638228"/>
      <w:r/>
      <w:bookmarkStart w:id="820" w:name="_Toc82441516"/>
      <w:r/>
      <w:bookmarkStart w:id="821" w:name="_Toc170818103"/>
      <w:r/>
      <w:bookmarkStart w:id="822" w:name="_Toc180510497"/>
      <w:r/>
      <w:bookmarkStart w:id="823" w:name="_Toc222497474"/>
      <w:r/>
      <w:bookmarkStart w:id="824" w:name="_Toc242104525"/>
      <w:r>
        <w:rPr>
          <w:sz w:val="24"/>
          <w:szCs w:val="24"/>
        </w:rPr>
        <w:t xml:space="preserve">1. Резюме работника</w:t>
      </w:r>
      <w:bookmarkEnd w:id="810"/>
      <w:r/>
      <w:bookmarkEnd w:id="811"/>
      <w:r/>
      <w:bookmarkEnd w:id="812"/>
      <w:r/>
      <w:bookmarkEnd w:id="813"/>
      <w:r/>
      <w:bookmarkEnd w:id="814"/>
      <w:r/>
      <w:bookmarkEnd w:id="815"/>
      <w:r/>
      <w:bookmarkEnd w:id="816"/>
      <w:r/>
      <w:bookmarkEnd w:id="817"/>
      <w:r/>
      <w:bookmarkEnd w:id="818"/>
      <w:r/>
      <w:bookmarkEnd w:id="819"/>
      <w:r/>
      <w:bookmarkEnd w:id="820"/>
      <w:r/>
      <w:bookmarkEnd w:id="821"/>
      <w:r/>
      <w:bookmarkEnd w:id="822"/>
      <w:r/>
      <w:bookmarkEnd w:id="823"/>
      <w:r/>
      <w:bookmarkEnd w:id="824"/>
      <w:r/>
      <w:r>
        <w:rPr>
          <w:sz w:val="24"/>
          <w:szCs w:val="24"/>
        </w:rPr>
      </w:r>
    </w:p>
    <w:p>
      <w:r/>
      <w:r/>
    </w:p>
    <w:p>
      <w:r>
        <w:t xml:space="preserve">Наименование Участника закупки: </w:t>
      </w:r>
      <w:r>
        <w:rPr>
          <w:i/>
          <w:iCs/>
          <w:color w:val="333399"/>
        </w:rPr>
        <w:t xml:space="preserve">(указать краткое наименование)</w:t>
      </w:r>
      <w:r/>
    </w:p>
    <w:p>
      <w:pPr>
        <w:jc w:val="center"/>
        <w:spacing w:before="120"/>
        <w:rPr>
          <w:b/>
        </w:rPr>
      </w:pPr>
      <w:r>
        <w:rPr>
          <w:b/>
        </w:rPr>
        <w:t xml:space="preserve">РЕЗЮМЕ РАБОТНИКА</w:t>
      </w:r>
      <w:r>
        <w:rPr>
          <w:b/>
        </w:rPr>
      </w:r>
    </w:p>
    <w:p>
      <w:pPr>
        <w:ind w:right="-82"/>
        <w:shd w:val="clear" w:color="auto" w:fill="ffc000"/>
        <w:rPr>
          <w:b/>
          <w:bCs/>
          <w:sz w:val="26"/>
          <w:szCs w:val="26"/>
        </w:rPr>
      </w:pPr>
      <w:r>
        <w:rPr>
          <w:b/>
          <w:bCs/>
          <w:sz w:val="26"/>
          <w:szCs w:val="26"/>
        </w:rPr>
        <w:t xml:space="preserve">РОЛЬ В ПРОЕКТЕ </w:t>
      </w:r>
      <w:r>
        <w:rPr>
          <w:b/>
          <w:bCs/>
          <w:sz w:val="26"/>
          <w:szCs w:val="26"/>
        </w:rPr>
      </w:r>
    </w:p>
    <w:p>
      <w:pPr>
        <w:ind w:right="-79"/>
        <w:rPr>
          <w:bCs/>
          <w:i/>
          <w:color w:val="4f81bd"/>
          <w:sz w:val="32"/>
          <w:szCs w:val="26"/>
        </w:rPr>
      </w:pPr>
      <w:r>
        <w:rPr>
          <w:i/>
          <w:color w:val="4f81bd"/>
        </w:rPr>
        <w:t xml:space="preserve">Указать</w:t>
      </w:r>
      <w:r>
        <w:rPr>
          <w:bCs/>
          <w:i/>
          <w:color w:val="4f81bd"/>
          <w:sz w:val="32"/>
          <w:szCs w:val="26"/>
        </w:rPr>
      </w:r>
    </w:p>
    <w:p>
      <w:pPr>
        <w:ind w:right="-82"/>
        <w:shd w:val="clear" w:color="auto" w:fill="ffc000"/>
        <w:rPr>
          <w:b/>
          <w:bCs/>
          <w:sz w:val="26"/>
          <w:szCs w:val="26"/>
        </w:rPr>
      </w:pPr>
      <w:r>
        <w:rPr>
          <w:b/>
          <w:bCs/>
          <w:sz w:val="26"/>
          <w:szCs w:val="26"/>
        </w:rPr>
        <w:t xml:space="preserve">ФАМИЛИЯ ИМЯ ОТЧЕСТВО </w:t>
      </w:r>
      <w:r>
        <w:rPr>
          <w:b/>
          <w:bCs/>
          <w:sz w:val="26"/>
          <w:szCs w:val="26"/>
        </w:rPr>
      </w:r>
    </w:p>
    <w:p>
      <w:pPr>
        <w:ind w:right="-79"/>
        <w:rPr>
          <w:b/>
          <w:bCs/>
          <w:sz w:val="6"/>
          <w:szCs w:val="2"/>
        </w:rPr>
      </w:pPr>
      <w:r/>
      <w:bookmarkStart w:id="825" w:name="_Toc195685236"/>
      <w:r/>
      <w:bookmarkStart w:id="826" w:name="_Toc197665003"/>
      <w:r>
        <w:rPr>
          <w:i/>
          <w:color w:val="4f81bd"/>
        </w:rPr>
        <w:t xml:space="preserve">Указать</w:t>
      </w:r>
      <w:r>
        <w:rPr>
          <w:b/>
          <w:bCs/>
          <w:sz w:val="6"/>
          <w:szCs w:val="2"/>
        </w:rPr>
      </w:r>
    </w:p>
    <w:p>
      <w:pPr>
        <w:ind w:right="-82"/>
        <w:spacing w:after="120"/>
        <w:shd w:val="clear" w:color="auto" w:fill="ffc000"/>
        <w:rPr>
          <w:b/>
          <w:bCs/>
        </w:rPr>
      </w:pPr>
      <w:r>
        <w:rPr>
          <w:b/>
          <w:bCs/>
        </w:rPr>
        <w:t xml:space="preserve">Общие сведения:</w:t>
      </w:r>
      <w:bookmarkEnd w:id="825"/>
      <w:r/>
      <w:bookmarkEnd w:id="826"/>
      <w:r/>
      <w:r>
        <w:rPr>
          <w:b/>
          <w:bCs/>
        </w:rPr>
      </w:r>
    </w:p>
    <w:tbl>
      <w:tblPr>
        <w:tblW w:w="4932" w:type="pct"/>
        <w:tblInd w:w="108" w:type="dxa"/>
        <w:tblBorders>
          <w:top w:val="single" w:color="auto" w:sz="4" w:space="0"/>
          <w:bottom w:val="single" w:color="auto" w:sz="4" w:space="0"/>
          <w:insideH w:val="single" w:color="auto" w:sz="4" w:space="0"/>
        </w:tblBorders>
        <w:tblLook w:val="04A0" w:firstRow="1" w:lastRow="0" w:firstColumn="1" w:lastColumn="0" w:noHBand="0" w:noVBand="1"/>
      </w:tblPr>
      <w:tblGrid>
        <w:gridCol w:w="3670"/>
        <w:gridCol w:w="5770"/>
      </w:tblGrid>
      <w:tr>
        <w:tblPrEx/>
        <w:trPr>
          <w:trHeight w:val="454"/>
        </w:trPr>
        <w:tc>
          <w:tcPr>
            <w:tcBorders>
              <w:top w:val="single" w:color="auto" w:sz="4" w:space="0"/>
              <w:left w:val="none" w:color="000000" w:sz="4" w:space="0"/>
              <w:bottom w:val="single" w:color="auto" w:sz="4" w:space="0"/>
              <w:right w:val="none" w:color="000000" w:sz="4" w:space="0"/>
            </w:tcBorders>
            <w:tcW w:w="1944" w:type="pct"/>
            <w:vAlign w:val="center"/>
            <w:textDirection w:val="lrTb"/>
            <w:noWrap w:val="false"/>
          </w:tcPr>
          <w:p>
            <w:pPr>
              <w:spacing w:before="60" w:line="216" w:lineRule="auto"/>
              <w:rPr>
                <w:i/>
                <w:sz w:val="20"/>
                <w:szCs w:val="20"/>
                <w:lang w:eastAsia="en-US"/>
              </w:rPr>
            </w:pPr>
            <w:r>
              <w:rPr>
                <w:i/>
                <w:sz w:val="20"/>
                <w:szCs w:val="20"/>
                <w:lang w:eastAsia="en-US"/>
              </w:rPr>
              <w:t xml:space="preserve">Образование (наименование высшего заведения, год окончания):</w:t>
            </w:r>
            <w:r>
              <w:rPr>
                <w:i/>
                <w:sz w:val="20"/>
                <w:szCs w:val="20"/>
                <w:lang w:eastAsia="en-US"/>
              </w:rPr>
            </w:r>
          </w:p>
        </w:tc>
        <w:tc>
          <w:tcPr>
            <w:tcBorders>
              <w:top w:val="single" w:color="auto" w:sz="4" w:space="0"/>
              <w:left w:val="none" w:color="000000" w:sz="4" w:space="0"/>
              <w:bottom w:val="single" w:color="auto" w:sz="4" w:space="0"/>
              <w:right w:val="none" w:color="000000" w:sz="4" w:space="0"/>
            </w:tcBorders>
            <w:tcW w:w="3056"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Текстовое описание</w:t>
            </w:r>
            <w:r>
              <w:rPr>
                <w:i/>
                <w:color w:val="4f81bd"/>
                <w:sz w:val="20"/>
                <w:szCs w:val="20"/>
                <w:lang w:eastAsia="en-US"/>
              </w:rPr>
            </w:r>
          </w:p>
        </w:tc>
      </w:tr>
      <w:tr>
        <w:tblPrEx/>
        <w:trPr>
          <w:trHeight w:val="454"/>
        </w:trPr>
        <w:tc>
          <w:tcPr>
            <w:tcBorders>
              <w:top w:val="single" w:color="auto" w:sz="4" w:space="0"/>
              <w:left w:val="none" w:color="000000" w:sz="4" w:space="0"/>
              <w:bottom w:val="single" w:color="auto" w:sz="4" w:space="0"/>
              <w:right w:val="none" w:color="000000" w:sz="4" w:space="0"/>
            </w:tcBorders>
            <w:tcW w:w="1944" w:type="pct"/>
            <w:vAlign w:val="center"/>
            <w:textDirection w:val="lrTb"/>
            <w:noWrap w:val="false"/>
          </w:tcPr>
          <w:p>
            <w:pPr>
              <w:spacing w:before="60" w:line="216" w:lineRule="auto"/>
              <w:rPr>
                <w:i/>
                <w:sz w:val="20"/>
                <w:szCs w:val="20"/>
                <w:lang w:eastAsia="en-US"/>
              </w:rPr>
            </w:pPr>
            <w:r>
              <w:rPr>
                <w:i/>
                <w:sz w:val="20"/>
                <w:szCs w:val="20"/>
                <w:lang w:eastAsia="en-US"/>
              </w:rPr>
              <w:t xml:space="preserve">Специальность:</w:t>
            </w:r>
            <w:r>
              <w:rPr>
                <w:i/>
                <w:sz w:val="20"/>
                <w:szCs w:val="20"/>
                <w:lang w:eastAsia="en-US"/>
              </w:rPr>
            </w:r>
          </w:p>
        </w:tc>
        <w:tc>
          <w:tcPr>
            <w:tcBorders>
              <w:top w:val="single" w:color="auto" w:sz="4" w:space="0"/>
              <w:left w:val="none" w:color="000000" w:sz="4" w:space="0"/>
              <w:bottom w:val="single" w:color="auto" w:sz="4" w:space="0"/>
              <w:right w:val="none" w:color="000000" w:sz="4" w:space="0"/>
            </w:tcBorders>
            <w:tcW w:w="3056"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Текстовое описание</w:t>
            </w:r>
            <w:r>
              <w:rPr>
                <w:i/>
                <w:color w:val="4f81bd"/>
                <w:sz w:val="20"/>
                <w:szCs w:val="20"/>
                <w:lang w:eastAsia="en-US"/>
              </w:rPr>
            </w:r>
          </w:p>
        </w:tc>
      </w:tr>
      <w:tr>
        <w:tblPrEx/>
        <w:trPr>
          <w:trHeight w:val="454"/>
        </w:trPr>
        <w:tc>
          <w:tcPr>
            <w:tcBorders>
              <w:top w:val="single" w:color="auto" w:sz="4" w:space="0"/>
              <w:left w:val="none" w:color="000000" w:sz="4" w:space="0"/>
              <w:bottom w:val="single" w:color="auto" w:sz="4" w:space="0"/>
              <w:right w:val="none" w:color="000000" w:sz="4" w:space="0"/>
            </w:tcBorders>
            <w:tcW w:w="1944" w:type="pct"/>
            <w:vAlign w:val="center"/>
            <w:textDirection w:val="lrTb"/>
            <w:noWrap w:val="false"/>
          </w:tcPr>
          <w:p>
            <w:pPr>
              <w:spacing w:before="60" w:line="216" w:lineRule="auto"/>
              <w:rPr>
                <w:i/>
                <w:sz w:val="20"/>
                <w:szCs w:val="20"/>
                <w:lang w:eastAsia="en-US"/>
              </w:rPr>
            </w:pPr>
            <w:r>
              <w:rPr>
                <w:i/>
                <w:sz w:val="20"/>
                <w:szCs w:val="20"/>
                <w:lang w:eastAsia="en-US"/>
              </w:rPr>
              <w:t xml:space="preserve">Квалификация по диплому:</w:t>
            </w:r>
            <w:r>
              <w:rPr>
                <w:i/>
                <w:sz w:val="20"/>
                <w:szCs w:val="20"/>
                <w:lang w:eastAsia="en-US"/>
              </w:rPr>
            </w:r>
          </w:p>
        </w:tc>
        <w:tc>
          <w:tcPr>
            <w:tcBorders>
              <w:top w:val="single" w:color="auto" w:sz="4" w:space="0"/>
              <w:left w:val="none" w:color="000000" w:sz="4" w:space="0"/>
              <w:bottom w:val="single" w:color="auto" w:sz="4" w:space="0"/>
              <w:right w:val="none" w:color="000000" w:sz="4" w:space="0"/>
            </w:tcBorders>
            <w:tcW w:w="3056"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Текстовое описание</w:t>
            </w:r>
            <w:r>
              <w:rPr>
                <w:i/>
                <w:color w:val="4f81bd"/>
                <w:sz w:val="20"/>
                <w:szCs w:val="20"/>
                <w:lang w:eastAsia="en-US"/>
              </w:rPr>
            </w:r>
          </w:p>
        </w:tc>
      </w:tr>
      <w:tr>
        <w:tblPrEx/>
        <w:trPr>
          <w:trHeight w:val="454"/>
        </w:trPr>
        <w:tc>
          <w:tcPr>
            <w:tcBorders>
              <w:top w:val="single" w:color="auto" w:sz="4" w:space="0"/>
              <w:left w:val="none" w:color="000000" w:sz="4" w:space="0"/>
              <w:bottom w:val="single" w:color="auto" w:sz="4" w:space="0"/>
              <w:right w:val="none" w:color="000000" w:sz="4" w:space="0"/>
            </w:tcBorders>
            <w:tcW w:w="1944" w:type="pct"/>
            <w:vAlign w:val="center"/>
            <w:textDirection w:val="lrTb"/>
            <w:noWrap w:val="false"/>
          </w:tcPr>
          <w:p>
            <w:pPr>
              <w:spacing w:before="60" w:line="216" w:lineRule="auto"/>
              <w:rPr>
                <w:i/>
                <w:sz w:val="20"/>
                <w:szCs w:val="20"/>
                <w:lang w:eastAsia="en-US"/>
              </w:rPr>
            </w:pPr>
            <w:r>
              <w:rPr>
                <w:i/>
                <w:sz w:val="20"/>
                <w:szCs w:val="20"/>
                <w:lang w:eastAsia="en-US"/>
              </w:rPr>
              <w:t xml:space="preserve">Профессиональные сертификаты:</w:t>
            </w:r>
            <w:r>
              <w:rPr>
                <w:i/>
                <w:sz w:val="20"/>
                <w:szCs w:val="20"/>
                <w:lang w:eastAsia="en-US"/>
              </w:rPr>
            </w:r>
          </w:p>
        </w:tc>
        <w:tc>
          <w:tcPr>
            <w:tcBorders>
              <w:top w:val="single" w:color="auto" w:sz="4" w:space="0"/>
              <w:left w:val="none" w:color="000000" w:sz="4" w:space="0"/>
              <w:bottom w:val="single" w:color="auto" w:sz="4" w:space="0"/>
              <w:right w:val="none" w:color="000000" w:sz="4" w:space="0"/>
            </w:tcBorders>
            <w:tcW w:w="3056" w:type="pct"/>
            <w:vAlign w:val="center"/>
            <w:textDirection w:val="lrTb"/>
            <w:noWrap w:val="false"/>
          </w:tcPr>
          <w:p>
            <w:pPr>
              <w:spacing w:before="60" w:line="216" w:lineRule="auto"/>
              <w:rPr>
                <w:color w:val="4f81bd"/>
                <w:sz w:val="20"/>
                <w:szCs w:val="20"/>
                <w:lang w:eastAsia="en-US"/>
              </w:rPr>
            </w:pPr>
            <w:r>
              <w:rPr>
                <w:i/>
                <w:color w:val="4f81bd"/>
                <w:sz w:val="20"/>
                <w:szCs w:val="20"/>
                <w:lang w:eastAsia="en-US"/>
              </w:rPr>
              <w:t xml:space="preserve">Текстовое описание</w:t>
            </w:r>
            <w:r>
              <w:rPr>
                <w:color w:val="4f81bd"/>
                <w:sz w:val="20"/>
                <w:szCs w:val="20"/>
                <w:lang w:eastAsia="en-US"/>
              </w:rPr>
            </w:r>
          </w:p>
        </w:tc>
      </w:tr>
    </w:tbl>
    <w:p>
      <w:pPr>
        <w:ind w:right="-82"/>
        <w:spacing w:before="120" w:after="120"/>
        <w:shd w:val="clear" w:color="auto" w:fill="ffc000"/>
        <w:rPr>
          <w:b/>
          <w:bCs/>
        </w:rPr>
      </w:pPr>
      <w:r>
        <w:rPr>
          <w:b/>
          <w:bCs/>
        </w:rPr>
        <w:t xml:space="preserve">Трудовая деятельность в рамках длительности требуемого опыта </w:t>
      </w:r>
      <w:r>
        <w:rPr>
          <w:b/>
          <w:bCs/>
        </w:rPr>
      </w:r>
    </w:p>
    <w:tbl>
      <w:tblPr>
        <w:tblW w:w="5000" w:type="pct"/>
        <w:tblBorders>
          <w:top w:val="single" w:color="auto" w:sz="4" w:space="0"/>
          <w:bottom w:val="single" w:color="auto" w:sz="4" w:space="0"/>
          <w:insideH w:val="single" w:color="auto" w:sz="4" w:space="0"/>
        </w:tblBorders>
        <w:tblLook w:val="04A0" w:firstRow="1" w:lastRow="0" w:firstColumn="1" w:lastColumn="0" w:noHBand="0" w:noVBand="1"/>
      </w:tblPr>
      <w:tblGrid>
        <w:gridCol w:w="982"/>
        <w:gridCol w:w="1669"/>
        <w:gridCol w:w="3252"/>
        <w:gridCol w:w="3667"/>
      </w:tblGrid>
      <w:tr>
        <w:tblPrEx/>
        <w:trPr>
          <w:cantSplit/>
          <w:trHeight w:val="345"/>
        </w:trPr>
        <w:tc>
          <w:tcPr>
            <w:gridSpan w:val="2"/>
            <w:tcBorders>
              <w:top w:val="single" w:color="auto" w:sz="4" w:space="0"/>
              <w:left w:val="single" w:color="auto" w:sz="4" w:space="0"/>
              <w:bottom w:val="single" w:color="auto" w:sz="4" w:space="0"/>
              <w:right w:val="single" w:color="auto" w:sz="4" w:space="0"/>
            </w:tcBorders>
            <w:tcW w:w="1385" w:type="pct"/>
            <w:vAlign w:val="center"/>
            <w:textDirection w:val="lrTb"/>
            <w:noWrap w:val="false"/>
          </w:tcPr>
          <w:p>
            <w:pPr>
              <w:jc w:val="center"/>
              <w:spacing w:line="216" w:lineRule="auto"/>
              <w:rPr>
                <w:b/>
                <w:bCs/>
                <w:i/>
                <w:sz w:val="20"/>
                <w:szCs w:val="20"/>
                <w:lang w:eastAsia="en-US"/>
              </w:rPr>
            </w:pPr>
            <w:r/>
            <w:bookmarkStart w:id="827" w:name="_Toc203937510"/>
            <w:r/>
            <w:bookmarkStart w:id="828" w:name="_Toc203540449"/>
            <w:r/>
            <w:bookmarkStart w:id="829" w:name="_Toc203413063"/>
            <w:r/>
            <w:bookmarkStart w:id="830" w:name="_Toc202253830"/>
            <w:r/>
            <w:bookmarkStart w:id="831" w:name="_Toc202250369"/>
            <w:r/>
            <w:bookmarkStart w:id="832" w:name="_Toc197665004"/>
            <w:r/>
            <w:bookmarkStart w:id="833" w:name="_Toc195685237"/>
            <w:r>
              <w:rPr>
                <w:b/>
                <w:bCs/>
                <w:i/>
                <w:sz w:val="20"/>
                <w:szCs w:val="20"/>
                <w:lang w:eastAsia="en-US"/>
              </w:rPr>
              <w:t xml:space="preserve">Период</w:t>
            </w:r>
            <w:bookmarkEnd w:id="827"/>
            <w:r/>
            <w:bookmarkEnd w:id="828"/>
            <w:r/>
            <w:bookmarkEnd w:id="829"/>
            <w:r/>
            <w:bookmarkEnd w:id="830"/>
            <w:r/>
            <w:bookmarkEnd w:id="831"/>
            <w:r/>
            <w:bookmarkEnd w:id="832"/>
            <w:r/>
            <w:bookmarkEnd w:id="833"/>
            <w:r/>
            <w:r>
              <w:rPr>
                <w:b/>
                <w:bCs/>
                <w:i/>
                <w:sz w:val="20"/>
                <w:szCs w:val="20"/>
                <w:lang w:eastAsia="en-US"/>
              </w:rPr>
            </w:r>
          </w:p>
        </w:tc>
        <w:tc>
          <w:tcPr>
            <w:tcBorders>
              <w:top w:val="single" w:color="auto" w:sz="4" w:space="0"/>
              <w:left w:val="single" w:color="auto" w:sz="4" w:space="0"/>
              <w:bottom w:val="single" w:color="auto" w:sz="4" w:space="0"/>
              <w:right w:val="single" w:color="auto" w:sz="4" w:space="0"/>
            </w:tcBorders>
            <w:tcW w:w="1699" w:type="pct"/>
            <w:vAlign w:val="center"/>
            <w:textDirection w:val="lrTb"/>
            <w:noWrap w:val="false"/>
          </w:tcPr>
          <w:p>
            <w:pPr>
              <w:jc w:val="center"/>
              <w:spacing w:line="216" w:lineRule="auto"/>
              <w:rPr>
                <w:b/>
                <w:bCs/>
                <w:i/>
                <w:sz w:val="20"/>
                <w:szCs w:val="20"/>
                <w:lang w:eastAsia="en-US"/>
              </w:rPr>
            </w:pPr>
            <w:r>
              <w:rPr>
                <w:b/>
                <w:bCs/>
                <w:i/>
                <w:sz w:val="20"/>
                <w:szCs w:val="20"/>
                <w:lang w:eastAsia="en-US"/>
              </w:rPr>
              <w:t xml:space="preserve">Предприятие</w:t>
            </w:r>
            <w:r>
              <w:rPr>
                <w:b/>
                <w:bCs/>
                <w:i/>
                <w:sz w:val="20"/>
                <w:szCs w:val="20"/>
                <w:lang w:eastAsia="en-US"/>
              </w:rPr>
            </w:r>
          </w:p>
        </w:tc>
        <w:tc>
          <w:tcPr>
            <w:tcBorders>
              <w:top w:val="single" w:color="auto" w:sz="4" w:space="0"/>
              <w:left w:val="single" w:color="auto" w:sz="4" w:space="0"/>
              <w:bottom w:val="single" w:color="auto" w:sz="4" w:space="0"/>
              <w:right w:val="single" w:color="auto" w:sz="4" w:space="0"/>
            </w:tcBorders>
            <w:tcW w:w="1916" w:type="pct"/>
            <w:vAlign w:val="center"/>
            <w:textDirection w:val="lrTb"/>
            <w:noWrap w:val="false"/>
          </w:tcPr>
          <w:p>
            <w:pPr>
              <w:jc w:val="center"/>
              <w:spacing w:line="216" w:lineRule="auto"/>
              <w:rPr>
                <w:b/>
                <w:i/>
                <w:sz w:val="20"/>
                <w:szCs w:val="20"/>
                <w:u w:val="single"/>
                <w:lang w:eastAsia="en-US"/>
              </w:rPr>
            </w:pPr>
            <w:r>
              <w:rPr>
                <w:b/>
                <w:i/>
                <w:sz w:val="20"/>
                <w:szCs w:val="20"/>
                <w:lang w:eastAsia="en-US"/>
              </w:rPr>
              <w:t xml:space="preserve">Занимаемая должность</w:t>
            </w:r>
            <w:r>
              <w:rPr>
                <w:b/>
                <w:i/>
                <w:sz w:val="20"/>
                <w:szCs w:val="20"/>
                <w:u w:val="single"/>
                <w:lang w:eastAsia="en-US"/>
              </w:rPr>
            </w:r>
          </w:p>
        </w:tc>
      </w:tr>
      <w:tr>
        <w:tblPrEx/>
        <w:trPr>
          <w:cantSplit/>
          <w:trHeight w:val="489"/>
        </w:trPr>
        <w:tc>
          <w:tcPr>
            <w:tcBorders>
              <w:top w:val="single" w:color="auto" w:sz="4" w:space="0"/>
              <w:left w:val="single" w:color="auto" w:sz="4" w:space="0"/>
              <w:bottom w:val="single" w:color="auto" w:sz="4" w:space="0"/>
              <w:right w:val="single" w:color="auto" w:sz="4" w:space="0"/>
            </w:tcBorders>
            <w:tcW w:w="513"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мм</w:t>
            </w:r>
            <w:r>
              <w:rPr>
                <w:i/>
                <w:color w:val="4f81bd"/>
                <w:sz w:val="20"/>
                <w:szCs w:val="20"/>
                <w:lang w:eastAsia="en-US"/>
              </w:rPr>
              <w:t xml:space="preserve">.г</w:t>
            </w:r>
            <w:r>
              <w:rPr>
                <w:i/>
                <w:color w:val="4f81bd"/>
                <w:sz w:val="20"/>
                <w:szCs w:val="20"/>
                <w:lang w:eastAsia="en-US"/>
              </w:rPr>
              <w:t xml:space="preserve">ггг</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872"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мм</w:t>
            </w:r>
            <w:r>
              <w:rPr>
                <w:i/>
                <w:color w:val="4f81bd"/>
                <w:sz w:val="20"/>
                <w:szCs w:val="20"/>
                <w:lang w:eastAsia="en-US"/>
              </w:rPr>
              <w:t xml:space="preserve">.г</w:t>
            </w:r>
            <w:r>
              <w:rPr>
                <w:i/>
                <w:color w:val="4f81bd"/>
                <w:sz w:val="20"/>
                <w:szCs w:val="20"/>
                <w:lang w:eastAsia="en-US"/>
              </w:rPr>
              <w:t xml:space="preserve">ггг</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1699"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Указать наименование работодателя</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1916" w:type="pct"/>
            <w:vAlign w:val="center"/>
            <w:textDirection w:val="lrTb"/>
            <w:noWrap w:val="false"/>
          </w:tcPr>
          <w:p>
            <w:pPr>
              <w:numPr>
                <w:ilvl w:val="0"/>
                <w:numId w:val="65"/>
              </w:numPr>
              <w:ind w:left="252" w:firstLine="0"/>
              <w:jc w:val="left"/>
              <w:spacing w:before="60" w:line="216" w:lineRule="auto"/>
              <w:tabs>
                <w:tab w:val="num" w:pos="252" w:leader="none"/>
              </w:tabs>
              <w:rPr>
                <w:i/>
                <w:color w:val="4f81bd"/>
                <w:sz w:val="20"/>
                <w:szCs w:val="20"/>
                <w:lang w:eastAsia="en-US"/>
              </w:rPr>
            </w:pPr>
            <w:r>
              <w:rPr>
                <w:i/>
                <w:color w:val="4f81bd"/>
                <w:sz w:val="20"/>
                <w:szCs w:val="20"/>
                <w:lang w:eastAsia="en-US"/>
              </w:rPr>
              <w:t xml:space="preserve">Указать наименование должности у работодателя</w:t>
            </w:r>
            <w:r>
              <w:rPr>
                <w:i/>
                <w:color w:val="4f81bd"/>
                <w:sz w:val="20"/>
                <w:szCs w:val="20"/>
                <w:lang w:eastAsia="en-US"/>
              </w:rPr>
            </w:r>
          </w:p>
        </w:tc>
      </w:tr>
      <w:tr>
        <w:tblPrEx/>
        <w:trPr>
          <w:cantSplit/>
          <w:trHeight w:val="487"/>
        </w:trPr>
        <w:tc>
          <w:tcPr>
            <w:tcBorders>
              <w:top w:val="single" w:color="auto" w:sz="4" w:space="0"/>
              <w:left w:val="single" w:color="auto" w:sz="4" w:space="0"/>
              <w:bottom w:val="single" w:color="auto" w:sz="4" w:space="0"/>
              <w:right w:val="single" w:color="auto" w:sz="4" w:space="0"/>
            </w:tcBorders>
            <w:tcW w:w="513"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мм</w:t>
            </w:r>
            <w:r>
              <w:rPr>
                <w:i/>
                <w:color w:val="4f81bd"/>
                <w:sz w:val="20"/>
                <w:szCs w:val="20"/>
                <w:lang w:eastAsia="en-US"/>
              </w:rPr>
              <w:t xml:space="preserve">.г</w:t>
            </w:r>
            <w:r>
              <w:rPr>
                <w:i/>
                <w:color w:val="4f81bd"/>
                <w:sz w:val="20"/>
                <w:szCs w:val="20"/>
                <w:lang w:eastAsia="en-US"/>
              </w:rPr>
              <w:t xml:space="preserve">ггг</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872"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мм</w:t>
            </w:r>
            <w:r>
              <w:rPr>
                <w:i/>
                <w:color w:val="4f81bd"/>
                <w:sz w:val="20"/>
                <w:szCs w:val="20"/>
                <w:lang w:eastAsia="en-US"/>
              </w:rPr>
              <w:t xml:space="preserve">.г</w:t>
            </w:r>
            <w:r>
              <w:rPr>
                <w:i/>
                <w:color w:val="4f81bd"/>
                <w:sz w:val="20"/>
                <w:szCs w:val="20"/>
                <w:lang w:eastAsia="en-US"/>
              </w:rPr>
              <w:t xml:space="preserve">ггг</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1699" w:type="pct"/>
            <w:vAlign w:val="center"/>
            <w:textDirection w:val="lrTb"/>
            <w:noWrap w:val="false"/>
          </w:tcPr>
          <w:p>
            <w:pPr>
              <w:spacing w:before="60" w:line="216" w:lineRule="auto"/>
              <w:rPr>
                <w:i/>
                <w:color w:val="4f81bd"/>
                <w:sz w:val="20"/>
                <w:szCs w:val="20"/>
                <w:lang w:eastAsia="en-US"/>
              </w:rPr>
            </w:pPr>
            <w:r>
              <w:rPr>
                <w:i/>
                <w:color w:val="4f81bd"/>
                <w:sz w:val="20"/>
                <w:szCs w:val="20"/>
                <w:lang w:eastAsia="en-US"/>
              </w:rPr>
              <w:t xml:space="preserve">Указать наименование работодателя</w:t>
            </w:r>
            <w:r>
              <w:rPr>
                <w:i/>
                <w:color w:val="4f81bd"/>
                <w:sz w:val="20"/>
                <w:szCs w:val="20"/>
                <w:lang w:eastAsia="en-US"/>
              </w:rPr>
            </w:r>
          </w:p>
        </w:tc>
        <w:tc>
          <w:tcPr>
            <w:tcBorders>
              <w:top w:val="single" w:color="auto" w:sz="4" w:space="0"/>
              <w:left w:val="single" w:color="auto" w:sz="4" w:space="0"/>
              <w:bottom w:val="single" w:color="auto" w:sz="4" w:space="0"/>
              <w:right w:val="single" w:color="auto" w:sz="4" w:space="0"/>
            </w:tcBorders>
            <w:tcW w:w="1916" w:type="pct"/>
            <w:vAlign w:val="center"/>
            <w:textDirection w:val="lrTb"/>
            <w:noWrap w:val="false"/>
          </w:tcPr>
          <w:p>
            <w:pPr>
              <w:numPr>
                <w:ilvl w:val="0"/>
                <w:numId w:val="65"/>
              </w:numPr>
              <w:ind w:left="252" w:firstLine="0"/>
              <w:jc w:val="left"/>
              <w:spacing w:before="60" w:line="216" w:lineRule="auto"/>
              <w:tabs>
                <w:tab w:val="num" w:pos="252" w:leader="none"/>
              </w:tabs>
              <w:rPr>
                <w:i/>
                <w:color w:val="4f81bd"/>
                <w:sz w:val="20"/>
                <w:szCs w:val="20"/>
                <w:lang w:eastAsia="en-US"/>
              </w:rPr>
            </w:pPr>
            <w:r>
              <w:rPr>
                <w:i/>
                <w:color w:val="4f81bd"/>
                <w:sz w:val="20"/>
                <w:szCs w:val="20"/>
                <w:lang w:eastAsia="en-US"/>
              </w:rPr>
              <w:t xml:space="preserve">Указать наименование должности у работодателя</w:t>
            </w:r>
            <w:r>
              <w:rPr>
                <w:i/>
                <w:color w:val="4f81bd"/>
                <w:sz w:val="20"/>
                <w:szCs w:val="20"/>
                <w:lang w:eastAsia="en-US"/>
              </w:rPr>
            </w:r>
          </w:p>
        </w:tc>
      </w:tr>
    </w:tbl>
    <w:p>
      <w:pPr>
        <w:ind w:right="-82"/>
        <w:spacing w:before="120" w:after="120"/>
        <w:shd w:val="clear" w:color="auto" w:fill="ffc000"/>
        <w:rPr>
          <w:b/>
          <w:bCs/>
        </w:rPr>
      </w:pPr>
      <w:r>
        <w:rPr>
          <w:b/>
          <w:bCs/>
        </w:rPr>
        <w:t xml:space="preserve">Сведения об опыте участия в проектах по критерию «Квалификация участника» показатель</w:t>
      </w:r>
      <w:r>
        <w:rPr>
          <w:b/>
          <w:bCs/>
        </w:rPr>
      </w:r>
    </w:p>
    <w:tbl>
      <w:tblPr>
        <w:tblW w:w="5000" w:type="pct"/>
        <w:tblBorders>
          <w:top w:val="single" w:color="auto" w:sz="4" w:space="0"/>
          <w:bottom w:val="single" w:color="auto" w:sz="4" w:space="0"/>
          <w:insideH w:val="single" w:color="auto" w:sz="4" w:space="0"/>
        </w:tblBorders>
        <w:tblLook w:val="04A0" w:firstRow="1" w:lastRow="0" w:firstColumn="1" w:lastColumn="0" w:noHBand="0" w:noVBand="1"/>
      </w:tblPr>
      <w:tblGrid>
        <w:gridCol w:w="445"/>
        <w:gridCol w:w="1517"/>
        <w:gridCol w:w="2326"/>
        <w:gridCol w:w="1124"/>
        <w:gridCol w:w="964"/>
        <w:gridCol w:w="1952"/>
        <w:gridCol w:w="1242"/>
      </w:tblGrid>
      <w:tr>
        <w:tblPrEx/>
        <w:trPr>
          <w:cantSplit/>
          <w:trHeight w:val="986"/>
        </w:trPr>
        <w:tc>
          <w:tcPr>
            <w:tcBorders>
              <w:top w:val="single" w:color="auto" w:sz="4" w:space="0"/>
              <w:left w:val="single" w:color="auto" w:sz="4" w:space="0"/>
              <w:bottom w:val="single" w:color="auto" w:sz="4" w:space="0"/>
              <w:right w:val="single" w:color="auto" w:sz="4" w:space="0"/>
            </w:tcBorders>
            <w:tcW w:w="232" w:type="pct"/>
            <w:vAlign w:val="center"/>
            <w:textDirection w:val="lrTb"/>
            <w:noWrap w:val="false"/>
          </w:tcPr>
          <w:p>
            <w:pPr>
              <w:jc w:val="center"/>
              <w:spacing w:line="216" w:lineRule="auto"/>
              <w:rPr>
                <w:b/>
                <w:bCs/>
                <w:sz w:val="16"/>
                <w:lang w:eastAsia="en-US"/>
              </w:rPr>
            </w:pPr>
            <w:r>
              <w:rPr>
                <w:b/>
                <w:bCs/>
                <w:sz w:val="16"/>
                <w:lang w:eastAsia="en-US"/>
              </w:rPr>
              <w:t xml:space="preserve">№ </w:t>
            </w:r>
            <w:r>
              <w:rPr>
                <w:b/>
                <w:bCs/>
                <w:sz w:val="16"/>
                <w:lang w:eastAsia="en-US"/>
              </w:rPr>
              <w:t xml:space="preserve">п</w:t>
            </w:r>
            <w:r>
              <w:rPr>
                <w:b/>
                <w:bCs/>
                <w:sz w:val="16"/>
                <w:lang w:eastAsia="en-US"/>
              </w:rPr>
              <w:t xml:space="preserve">/п</w:t>
            </w:r>
            <w:r>
              <w:rPr>
                <w:b/>
                <w:bCs/>
                <w:sz w:val="16"/>
                <w:lang w:eastAsia="en-US"/>
              </w:rPr>
            </w:r>
          </w:p>
        </w:tc>
        <w:tc>
          <w:tcPr>
            <w:tcBorders>
              <w:top w:val="single" w:color="auto" w:sz="4" w:space="0"/>
              <w:left w:val="single" w:color="auto" w:sz="4" w:space="0"/>
              <w:bottom w:val="single" w:color="auto" w:sz="4" w:space="0"/>
              <w:right w:val="single" w:color="auto" w:sz="4" w:space="0"/>
            </w:tcBorders>
            <w:tcW w:w="793" w:type="pct"/>
            <w:vAlign w:val="center"/>
            <w:textDirection w:val="lrTb"/>
            <w:noWrap w:val="false"/>
          </w:tcPr>
          <w:p>
            <w:pPr>
              <w:jc w:val="center"/>
              <w:spacing w:line="216" w:lineRule="auto"/>
              <w:rPr>
                <w:b/>
                <w:bCs/>
                <w:sz w:val="16"/>
                <w:lang w:eastAsia="en-US"/>
              </w:rPr>
            </w:pPr>
            <w:r>
              <w:rPr>
                <w:b/>
                <w:bCs/>
                <w:sz w:val="16"/>
                <w:lang w:eastAsia="en-US"/>
              </w:rPr>
              <w:t xml:space="preserve">Наименование заказчика,</w:t>
            </w:r>
            <w:r>
              <w:rPr>
                <w:bCs/>
                <w:sz w:val="16"/>
                <w:lang w:eastAsia="en-US"/>
              </w:rPr>
              <w:t xml:space="preserve"> </w:t>
            </w:r>
            <w:r>
              <w:rPr>
                <w:b/>
                <w:bCs/>
                <w:sz w:val="16"/>
                <w:lang w:eastAsia="en-US"/>
              </w:rPr>
              <w:t xml:space="preserve">отрасль, контактная информация, организационная структура</w:t>
            </w:r>
            <w:r>
              <w:rPr>
                <w:b/>
                <w:bCs/>
                <w:sz w:val="16"/>
                <w:lang w:eastAsia="en-US"/>
              </w:rPr>
            </w:r>
          </w:p>
        </w:tc>
        <w:tc>
          <w:tcPr>
            <w:tcBorders>
              <w:top w:val="single" w:color="auto" w:sz="4" w:space="0"/>
              <w:left w:val="single" w:color="auto" w:sz="4" w:space="0"/>
              <w:bottom w:val="single" w:color="auto" w:sz="4" w:space="0"/>
              <w:right w:val="single" w:color="auto" w:sz="4" w:space="0"/>
            </w:tcBorders>
            <w:tcW w:w="1215" w:type="pct"/>
            <w:vAlign w:val="center"/>
            <w:textDirection w:val="lrTb"/>
            <w:noWrap w:val="false"/>
          </w:tcPr>
          <w:p>
            <w:pPr>
              <w:jc w:val="center"/>
              <w:spacing w:line="216" w:lineRule="auto"/>
              <w:rPr>
                <w:b/>
                <w:bCs/>
                <w:sz w:val="16"/>
                <w:lang w:eastAsia="en-US"/>
              </w:rPr>
            </w:pPr>
            <w:r>
              <w:rPr>
                <w:b/>
                <w:bCs/>
                <w:sz w:val="16"/>
                <w:lang w:eastAsia="en-US"/>
              </w:rPr>
              <w:t xml:space="preserve">Описание проекта  </w:t>
            </w:r>
            <w:r>
              <w:rPr>
                <w:b/>
                <w:bCs/>
                <w:sz w:val="16"/>
                <w:lang w:eastAsia="en-US"/>
              </w:rPr>
              <w:br/>
            </w:r>
            <w:r>
              <w:rPr>
                <w:bCs/>
                <w:sz w:val="16"/>
                <w:lang w:eastAsia="en-US"/>
              </w:rPr>
              <w:t xml:space="preserve">Наименование и краткое содержание стандарта</w:t>
            </w:r>
            <w:r>
              <w:rPr>
                <w:b/>
                <w:bCs/>
                <w:sz w:val="16"/>
                <w:lang w:eastAsia="en-US"/>
              </w:rPr>
            </w:r>
          </w:p>
        </w:tc>
        <w:tc>
          <w:tcPr>
            <w:tcBorders>
              <w:top w:val="single" w:color="auto" w:sz="4" w:space="0"/>
              <w:left w:val="single" w:color="auto" w:sz="4" w:space="0"/>
              <w:bottom w:val="single" w:color="auto" w:sz="4" w:space="0"/>
              <w:right w:val="single" w:color="auto" w:sz="4" w:space="0"/>
            </w:tcBorders>
            <w:tcW w:w="587" w:type="pct"/>
            <w:vAlign w:val="center"/>
            <w:textDirection w:val="lrTb"/>
            <w:noWrap w:val="false"/>
          </w:tcPr>
          <w:p>
            <w:pPr>
              <w:jc w:val="center"/>
              <w:spacing w:line="216" w:lineRule="auto"/>
              <w:rPr>
                <w:b/>
                <w:bCs/>
                <w:sz w:val="16"/>
                <w:lang w:eastAsia="en-US"/>
              </w:rPr>
            </w:pPr>
            <w:r>
              <w:rPr>
                <w:b/>
                <w:bCs/>
                <w:sz w:val="16"/>
                <w:lang w:eastAsia="en-US"/>
              </w:rPr>
              <w:t xml:space="preserve">Сроки выполнения</w:t>
            </w:r>
            <w:r>
              <w:rPr>
                <w:b/>
                <w:bCs/>
                <w:sz w:val="16"/>
                <w:lang w:eastAsia="en-US"/>
              </w:rPr>
            </w:r>
          </w:p>
        </w:tc>
        <w:tc>
          <w:tcPr>
            <w:tcBorders>
              <w:top w:val="single" w:color="auto" w:sz="4" w:space="0"/>
              <w:left w:val="single" w:color="auto" w:sz="4" w:space="0"/>
              <w:bottom w:val="single" w:color="auto" w:sz="4" w:space="0"/>
              <w:right w:val="single" w:color="auto" w:sz="4" w:space="0"/>
            </w:tcBorders>
            <w:tcW w:w="503" w:type="pct"/>
            <w:vAlign w:val="center"/>
            <w:textDirection w:val="lrTb"/>
            <w:noWrap w:val="false"/>
          </w:tcPr>
          <w:p>
            <w:pPr>
              <w:jc w:val="center"/>
              <w:spacing w:line="216" w:lineRule="auto"/>
              <w:rPr>
                <w:b/>
                <w:bCs/>
                <w:sz w:val="16"/>
                <w:lang w:eastAsia="en-US"/>
              </w:rPr>
            </w:pPr>
            <w:r>
              <w:rPr>
                <w:b/>
                <w:bCs/>
                <w:sz w:val="16"/>
                <w:lang w:eastAsia="en-US"/>
              </w:rPr>
              <w:t xml:space="preserve">Роль/роли в проекте</w:t>
            </w:r>
            <w:r>
              <w:rPr>
                <w:b/>
                <w:bCs/>
                <w:sz w:val="16"/>
                <w:lang w:eastAsia="en-US"/>
              </w:rPr>
            </w:r>
          </w:p>
        </w:tc>
        <w:tc>
          <w:tcPr>
            <w:tcBorders>
              <w:top w:val="single" w:color="auto" w:sz="4" w:space="0"/>
              <w:left w:val="single" w:color="auto" w:sz="4" w:space="0"/>
              <w:bottom w:val="single" w:color="auto" w:sz="4" w:space="0"/>
              <w:right w:val="single" w:color="auto" w:sz="4" w:space="0"/>
            </w:tcBorders>
            <w:tcW w:w="1020" w:type="pct"/>
            <w:vAlign w:val="center"/>
            <w:textDirection w:val="lrTb"/>
            <w:noWrap w:val="false"/>
          </w:tcPr>
          <w:p>
            <w:pPr>
              <w:jc w:val="center"/>
              <w:spacing w:line="216" w:lineRule="auto"/>
              <w:rPr>
                <w:b/>
                <w:bCs/>
                <w:sz w:val="16"/>
                <w:lang w:eastAsia="en-US"/>
              </w:rPr>
            </w:pPr>
            <w:r>
              <w:rPr>
                <w:b/>
                <w:bCs/>
                <w:sz w:val="16"/>
                <w:lang w:eastAsia="en-US"/>
              </w:rPr>
              <w:t xml:space="preserve">Выполненные работы в рамках роли</w:t>
            </w:r>
            <w:r>
              <w:rPr>
                <w:b/>
                <w:bCs/>
                <w:sz w:val="16"/>
                <w:lang w:eastAsia="en-US"/>
              </w:rPr>
            </w:r>
          </w:p>
        </w:tc>
        <w:tc>
          <w:tcPr>
            <w:tcBorders>
              <w:top w:val="single" w:color="auto" w:sz="4" w:space="0"/>
              <w:left w:val="single" w:color="auto" w:sz="4" w:space="0"/>
              <w:bottom w:val="single" w:color="auto" w:sz="4" w:space="0"/>
              <w:right w:val="single" w:color="auto" w:sz="4" w:space="0"/>
            </w:tcBorders>
            <w:tcW w:w="649" w:type="pct"/>
            <w:vAlign w:val="center"/>
            <w:textDirection w:val="lrTb"/>
            <w:noWrap w:val="false"/>
          </w:tcPr>
          <w:p>
            <w:pPr>
              <w:jc w:val="center"/>
              <w:spacing w:line="216" w:lineRule="auto"/>
              <w:rPr>
                <w:b/>
                <w:bCs/>
                <w:sz w:val="16"/>
                <w:lang w:eastAsia="en-US"/>
              </w:rPr>
            </w:pPr>
            <w:r>
              <w:rPr>
                <w:b/>
                <w:bCs/>
                <w:sz w:val="16"/>
                <w:lang w:eastAsia="en-US"/>
              </w:rPr>
              <w:t xml:space="preserve">Результат выполненных работ</w:t>
            </w:r>
            <w:r>
              <w:rPr>
                <w:b/>
                <w:bCs/>
                <w:sz w:val="16"/>
                <w:lang w:eastAsia="en-US"/>
              </w:rPr>
            </w:r>
          </w:p>
        </w:tc>
      </w:tr>
      <w:tr>
        <w:tblPrEx/>
        <w:trPr>
          <w:cantSplit/>
          <w:trHeight w:val="487"/>
        </w:trPr>
        <w:tc>
          <w:tcPr>
            <w:tcBorders>
              <w:top w:val="single" w:color="auto" w:sz="4" w:space="0"/>
              <w:left w:val="single" w:color="auto" w:sz="4" w:space="0"/>
              <w:bottom w:val="single" w:color="auto" w:sz="4" w:space="0"/>
              <w:right w:val="single" w:color="auto" w:sz="4" w:space="0"/>
            </w:tcBorders>
            <w:tcW w:w="232" w:type="pct"/>
            <w:vAlign w:val="center"/>
            <w:textDirection w:val="lrTb"/>
            <w:noWrap w:val="false"/>
          </w:tcPr>
          <w:p>
            <w:pPr>
              <w:spacing w:before="60" w:line="216" w:lineRule="auto"/>
              <w:rPr>
                <w:i/>
                <w:color w:val="4f81bd"/>
                <w:sz w:val="16"/>
                <w:szCs w:val="16"/>
                <w:lang w:eastAsia="en-US"/>
              </w:rPr>
            </w:pPr>
            <w:r>
              <w:rPr>
                <w:i/>
                <w:color w:val="4f81bd"/>
                <w:sz w:val="16"/>
                <w:szCs w:val="16"/>
                <w:lang w:eastAsia="en-US"/>
              </w:rPr>
              <w:t xml:space="preserve">1</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793" w:type="pct"/>
            <w:vAlign w:val="center"/>
            <w:textDirection w:val="lrTb"/>
            <w:noWrap w:val="false"/>
          </w:tcPr>
          <w:p>
            <w:pPr>
              <w:spacing w:before="60" w:line="216" w:lineRule="auto"/>
              <w:rPr>
                <w:i/>
                <w:color w:val="4f81bd"/>
                <w:sz w:val="16"/>
                <w:szCs w:val="16"/>
                <w:lang w:eastAsia="en-US"/>
              </w:rPr>
            </w:pPr>
            <w:r>
              <w:rPr>
                <w:i/>
                <w:color w:val="4f81bd"/>
                <w:sz w:val="16"/>
                <w:szCs w:val="16"/>
                <w:lang w:eastAsia="en-US"/>
              </w:rPr>
              <w:t xml:space="preserve">Текстовое описание</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1215" w:type="pct"/>
            <w:vAlign w:val="center"/>
            <w:textDirection w:val="lrTb"/>
            <w:noWrap w:val="false"/>
          </w:tcPr>
          <w:p>
            <w:pPr>
              <w:spacing w:after="0" w:line="252" w:lineRule="auto"/>
              <w:rPr>
                <w:i/>
                <w:color w:val="4f81bd"/>
                <w:sz w:val="16"/>
                <w:szCs w:val="16"/>
                <w:lang w:eastAsia="en-US"/>
              </w:rPr>
            </w:pPr>
            <w:r>
              <w:rPr>
                <w:i/>
                <w:color w:val="4f81bd"/>
                <w:sz w:val="16"/>
                <w:szCs w:val="16"/>
                <w:lang w:eastAsia="en-US"/>
              </w:rPr>
              <w:t xml:space="preserve">Текстовое описание. </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587" w:type="pct"/>
            <w:vAlign w:val="center"/>
            <w:textDirection w:val="lrTb"/>
            <w:noWrap w:val="false"/>
          </w:tcPr>
          <w:p>
            <w:pPr>
              <w:spacing w:before="60" w:line="216" w:lineRule="auto"/>
              <w:rPr>
                <w:i/>
                <w:color w:val="4f81bd"/>
                <w:sz w:val="16"/>
                <w:szCs w:val="16"/>
                <w:lang w:eastAsia="en-US"/>
              </w:rPr>
            </w:pPr>
            <w:r>
              <w:rPr>
                <w:i/>
                <w:color w:val="4f81bd"/>
                <w:sz w:val="16"/>
                <w:szCs w:val="16"/>
                <w:lang w:eastAsia="en-US"/>
              </w:rPr>
              <w:t xml:space="preserve">мм</w:t>
            </w:r>
            <w:r>
              <w:rPr>
                <w:i/>
                <w:color w:val="4f81bd"/>
                <w:sz w:val="16"/>
                <w:szCs w:val="16"/>
                <w:lang w:eastAsia="en-US"/>
              </w:rPr>
              <w:t xml:space="preserve">.г</w:t>
            </w:r>
            <w:r>
              <w:rPr>
                <w:i/>
                <w:color w:val="4f81bd"/>
                <w:sz w:val="16"/>
                <w:szCs w:val="16"/>
                <w:lang w:eastAsia="en-US"/>
              </w:rPr>
              <w:t xml:space="preserve">ггг</w:t>
            </w:r>
            <w:r>
              <w:rPr>
                <w:i/>
                <w:color w:val="4f81bd"/>
                <w:sz w:val="16"/>
                <w:szCs w:val="16"/>
                <w:lang w:eastAsia="en-US"/>
              </w:rPr>
              <w:t xml:space="preserve">- </w:t>
            </w:r>
            <w:r>
              <w:rPr>
                <w:i/>
                <w:color w:val="4f81bd"/>
                <w:sz w:val="16"/>
                <w:szCs w:val="16"/>
                <w:lang w:eastAsia="en-US"/>
              </w:rPr>
              <w:t xml:space="preserve">мм.гггг</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503" w:type="pct"/>
            <w:vAlign w:val="center"/>
            <w:textDirection w:val="lrTb"/>
            <w:noWrap w:val="false"/>
          </w:tcPr>
          <w:p>
            <w:pPr>
              <w:ind w:firstLine="10"/>
              <w:spacing w:before="60" w:line="216" w:lineRule="auto"/>
              <w:rPr>
                <w:i/>
                <w:color w:val="4f81bd"/>
                <w:sz w:val="16"/>
                <w:szCs w:val="16"/>
                <w:lang w:eastAsia="en-US"/>
              </w:rPr>
            </w:pPr>
            <w:r>
              <w:rPr>
                <w:i/>
                <w:color w:val="4f81bd"/>
                <w:sz w:val="16"/>
                <w:szCs w:val="16"/>
                <w:lang w:eastAsia="en-US"/>
              </w:rPr>
              <w:t xml:space="preserve">Текстовое описание</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1020" w:type="pct"/>
            <w:vAlign w:val="center"/>
            <w:textDirection w:val="lrTb"/>
            <w:noWrap w:val="false"/>
          </w:tcPr>
          <w:p>
            <w:pPr>
              <w:spacing w:before="60" w:line="216" w:lineRule="auto"/>
              <w:rPr>
                <w:i/>
                <w:color w:val="4f81bd"/>
                <w:sz w:val="16"/>
                <w:szCs w:val="16"/>
                <w:lang w:eastAsia="en-US"/>
              </w:rPr>
            </w:pPr>
            <w:r>
              <w:rPr>
                <w:i/>
                <w:color w:val="4f81bd"/>
                <w:sz w:val="16"/>
                <w:szCs w:val="16"/>
                <w:lang w:eastAsia="en-US"/>
              </w:rPr>
              <w:t xml:space="preserve">Текстовое описание</w:t>
            </w:r>
            <w:r>
              <w:rPr>
                <w:i/>
                <w:color w:val="4f81bd"/>
                <w:sz w:val="16"/>
                <w:szCs w:val="16"/>
                <w:lang w:eastAsia="en-US"/>
              </w:rPr>
            </w:r>
          </w:p>
        </w:tc>
        <w:tc>
          <w:tcPr>
            <w:tcBorders>
              <w:top w:val="single" w:color="auto" w:sz="4" w:space="0"/>
              <w:left w:val="single" w:color="auto" w:sz="4" w:space="0"/>
              <w:bottom w:val="single" w:color="auto" w:sz="4" w:space="0"/>
              <w:right w:val="single" w:color="auto" w:sz="4" w:space="0"/>
            </w:tcBorders>
            <w:tcW w:w="649" w:type="pct"/>
            <w:vAlign w:val="center"/>
            <w:textDirection w:val="lrTb"/>
            <w:noWrap w:val="false"/>
          </w:tcPr>
          <w:p>
            <w:pPr>
              <w:spacing w:before="60" w:line="216" w:lineRule="auto"/>
              <w:rPr>
                <w:i/>
                <w:color w:val="4f81bd"/>
                <w:sz w:val="16"/>
                <w:szCs w:val="16"/>
                <w:lang w:eastAsia="en-US"/>
              </w:rPr>
            </w:pPr>
            <w:r>
              <w:rPr>
                <w:i/>
                <w:color w:val="4f81bd"/>
                <w:sz w:val="16"/>
                <w:szCs w:val="16"/>
                <w:lang w:eastAsia="en-US"/>
              </w:rPr>
              <w:t xml:space="preserve">Текстовое описание</w:t>
            </w:r>
            <w:r>
              <w:rPr>
                <w:i/>
                <w:color w:val="4f81bd"/>
                <w:sz w:val="16"/>
                <w:szCs w:val="16"/>
                <w:lang w:eastAsia="en-US"/>
              </w:rPr>
            </w:r>
          </w:p>
        </w:tc>
      </w:tr>
      <w:tr>
        <w:tblPrEx/>
        <w:trPr>
          <w:cantSplit/>
          <w:trHeight w:val="487"/>
        </w:trPr>
        <w:tc>
          <w:tcPr>
            <w:tcBorders>
              <w:top w:val="single" w:color="auto" w:sz="4" w:space="0"/>
              <w:left w:val="single" w:color="auto" w:sz="4" w:space="0"/>
              <w:bottom w:val="single" w:color="auto" w:sz="4" w:space="0"/>
              <w:right w:val="single" w:color="auto" w:sz="4" w:space="0"/>
            </w:tcBorders>
            <w:tcW w:w="232" w:type="pct"/>
            <w:vAlign w:val="center"/>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793" w:type="pct"/>
            <w:vAlign w:val="center"/>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1215" w:type="pct"/>
            <w:vAlign w:val="center"/>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587" w:type="pct"/>
            <w:vAlign w:val="center"/>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503" w:type="pct"/>
            <w:vAlign w:val="center"/>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1020" w:type="pct"/>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c>
          <w:tcPr>
            <w:tcBorders>
              <w:top w:val="single" w:color="auto" w:sz="4" w:space="0"/>
              <w:left w:val="single" w:color="auto" w:sz="4" w:space="0"/>
              <w:bottom w:val="single" w:color="auto" w:sz="4" w:space="0"/>
              <w:right w:val="single" w:color="auto" w:sz="4" w:space="0"/>
            </w:tcBorders>
            <w:tcW w:w="649" w:type="pct"/>
            <w:textDirection w:val="lrTb"/>
            <w:noWrap w:val="false"/>
          </w:tcPr>
          <w:p>
            <w:pPr>
              <w:spacing w:before="60" w:line="216" w:lineRule="auto"/>
              <w:rPr>
                <w:i/>
                <w:color w:val="4f81bd"/>
                <w:sz w:val="16"/>
                <w:lang w:eastAsia="en-US"/>
              </w:rPr>
            </w:pPr>
            <w:r>
              <w:rPr>
                <w:i/>
                <w:color w:val="4f81bd"/>
                <w:sz w:val="16"/>
                <w:lang w:eastAsia="en-US"/>
              </w:rPr>
            </w:r>
            <w:r>
              <w:rPr>
                <w:i/>
                <w:color w:val="4f81bd"/>
                <w:sz w:val="16"/>
                <w:lang w:eastAsia="en-US"/>
              </w:rPr>
            </w:r>
          </w:p>
        </w:tc>
      </w:tr>
    </w:tbl>
    <w:p>
      <w:pPr>
        <w:ind w:right="-82"/>
        <w:rPr>
          <w:b/>
          <w:bCs/>
        </w:rPr>
      </w:pPr>
      <w:r>
        <w:rPr>
          <w:b/>
          <w:bCs/>
        </w:rPr>
        <w:t xml:space="preserve">___________________________________</w:t>
      </w:r>
      <w:r>
        <w:rPr>
          <w:b/>
          <w:bCs/>
        </w:rPr>
      </w:r>
    </w:p>
    <w:p>
      <w:pPr>
        <w:ind w:right="-82"/>
        <w:rPr>
          <w:bCs/>
          <w:vertAlign w:val="superscript"/>
        </w:rPr>
      </w:pPr>
      <w:r>
        <w:rPr>
          <w:bCs/>
          <w:vertAlign w:val="superscript"/>
        </w:rPr>
        <w:t xml:space="preserve">                                           (подпись, МП);</w:t>
      </w:r>
      <w:r>
        <w:rPr>
          <w:bCs/>
          <w:vertAlign w:val="superscript"/>
        </w:rPr>
      </w:r>
    </w:p>
    <w:p>
      <w:pPr>
        <w:ind w:right="-82"/>
        <w:rPr>
          <w:b/>
          <w:bCs/>
        </w:rPr>
      </w:pPr>
      <w:r>
        <w:rPr>
          <w:b/>
          <w:bCs/>
        </w:rPr>
        <w:t xml:space="preserve">_________________________________</w:t>
      </w:r>
      <w:r>
        <w:rPr>
          <w:b/>
          <w:bCs/>
        </w:rPr>
      </w:r>
    </w:p>
    <w:p>
      <w:pPr>
        <w:ind w:right="-82"/>
      </w:pPr>
      <w:r>
        <w:rPr>
          <w:bCs/>
          <w:vertAlign w:val="superscript"/>
        </w:rPr>
        <w:t xml:space="preserve">                (фамилия, имя, отчество </w:t>
      </w:r>
      <w:r>
        <w:rPr>
          <w:bCs/>
          <w:vertAlign w:val="superscript"/>
        </w:rPr>
        <w:t xml:space="preserve">подписавшего</w:t>
      </w:r>
      <w:r>
        <w:rPr>
          <w:bCs/>
          <w:vertAlign w:val="superscript"/>
        </w:rPr>
        <w:t xml:space="preserve">, должность)</w:t>
      </w:r>
      <w:r/>
    </w:p>
    <w:p>
      <w:pPr>
        <w:rPr>
          <w:sz w:val="20"/>
          <w:szCs w:val="20"/>
        </w:rPr>
      </w:pPr>
      <w:r>
        <w:rPr>
          <w:b/>
          <w:sz w:val="20"/>
          <w:szCs w:val="20"/>
        </w:rPr>
        <w:t xml:space="preserve">Инструкция по заполнению</w:t>
      </w:r>
      <w:r>
        <w:rPr>
          <w:sz w:val="20"/>
          <w:szCs w:val="20"/>
        </w:rPr>
      </w:r>
    </w:p>
    <w:p>
      <w:pPr>
        <w:numPr>
          <w:ilvl w:val="0"/>
          <w:numId w:val="66"/>
        </w:numPr>
        <w:contextualSpacing/>
        <w:ind w:left="284"/>
        <w:spacing w:after="0"/>
        <w:widowControl w:val="off"/>
        <w:tabs>
          <w:tab w:val="left" w:pos="1134" w:leader="none"/>
        </w:tabs>
        <w:rPr>
          <w:sz w:val="20"/>
          <w:szCs w:val="20"/>
        </w:rPr>
      </w:pPr>
      <w:r>
        <w:rPr>
          <w:sz w:val="20"/>
          <w:szCs w:val="20"/>
        </w:rPr>
        <w:t xml:space="preserve">Форма используется для оценки Квалификации Участника.</w:t>
      </w:r>
      <w:r>
        <w:rPr>
          <w:sz w:val="20"/>
          <w:szCs w:val="20"/>
        </w:rPr>
      </w:r>
    </w:p>
    <w:p>
      <w:pPr>
        <w:numPr>
          <w:ilvl w:val="0"/>
          <w:numId w:val="66"/>
        </w:numPr>
        <w:contextualSpacing/>
        <w:ind w:left="284"/>
        <w:spacing w:after="0"/>
        <w:widowControl w:val="off"/>
        <w:tabs>
          <w:tab w:val="left" w:pos="1134" w:leader="none"/>
        </w:tabs>
        <w:rPr>
          <w:sz w:val="20"/>
          <w:szCs w:val="20"/>
        </w:rPr>
      </w:pPr>
      <w:r>
        <w:rPr>
          <w:sz w:val="20"/>
          <w:szCs w:val="20"/>
        </w:rPr>
        <w:t xml:space="preserve">Форма сведений должна быть подписана уполномоченным лицом Участника.</w:t>
      </w:r>
      <w:r>
        <w:rPr>
          <w:sz w:val="20"/>
          <w:szCs w:val="20"/>
        </w:rPr>
      </w:r>
    </w:p>
    <w:p>
      <w:pPr>
        <w:numPr>
          <w:ilvl w:val="0"/>
          <w:numId w:val="66"/>
        </w:numPr>
        <w:contextualSpacing/>
        <w:ind w:left="284"/>
        <w:spacing w:after="0"/>
        <w:widowControl w:val="off"/>
        <w:tabs>
          <w:tab w:val="left" w:pos="1134" w:leader="none"/>
        </w:tabs>
        <w:rPr>
          <w:sz w:val="20"/>
          <w:szCs w:val="20"/>
        </w:rPr>
      </w:pPr>
      <w:r>
        <w:rPr>
          <w:sz w:val="20"/>
          <w:szCs w:val="20"/>
        </w:rPr>
        <w:t xml:space="preserve">В данной форме приводятся сведения об опыте работников Участника, планируемых к привлечению на выполнение работ по договору.</w:t>
      </w:r>
      <w:r>
        <w:rPr>
          <w:sz w:val="20"/>
          <w:szCs w:val="20"/>
        </w:rPr>
      </w:r>
    </w:p>
    <w:p>
      <w:pPr>
        <w:numPr>
          <w:ilvl w:val="0"/>
          <w:numId w:val="66"/>
        </w:numPr>
        <w:contextualSpacing/>
        <w:ind w:left="284"/>
        <w:spacing w:after="0"/>
        <w:widowControl w:val="off"/>
        <w:tabs>
          <w:tab w:val="left" w:pos="1134" w:leader="none"/>
        </w:tabs>
        <w:rPr>
          <w:sz w:val="20"/>
          <w:szCs w:val="20"/>
        </w:rPr>
      </w:pPr>
      <w:r>
        <w:rPr>
          <w:sz w:val="20"/>
          <w:szCs w:val="20"/>
        </w:rPr>
        <w:t xml:space="preserve">Описание деятельности работника предоставить по шаблону в разделе «Сведения об опыте участия в проектах». Организатор закупки имеет право проверить достоверность предоставленных данных. В сл</w:t>
      </w:r>
      <w:r>
        <w:rPr>
          <w:sz w:val="20"/>
          <w:szCs w:val="20"/>
        </w:rPr>
        <w:t xml:space="preserve">у</w:t>
      </w:r>
      <w:r>
        <w:rPr>
          <w:sz w:val="20"/>
          <w:szCs w:val="20"/>
        </w:rPr>
        <w:t xml:space="preserve">чае предоставления недостоверных данных заявка Участника закупки, предоставившего недостоверные данные, может быть отклонена</w:t>
      </w:r>
      <w:r>
        <w:rPr>
          <w:sz w:val="20"/>
          <w:szCs w:val="20"/>
        </w:rPr>
      </w:r>
    </w:p>
    <w:p>
      <w:pPr>
        <w:pStyle w:val="1352"/>
        <w:ind w:left="567"/>
        <w:jc w:val="both"/>
        <w:tabs>
          <w:tab w:val="left" w:pos="0" w:leader="none"/>
          <w:tab w:val="left" w:pos="993" w:leader="none"/>
        </w:tabs>
        <w:rPr>
          <w:sz w:val="20"/>
        </w:rPr>
      </w:pPr>
      <w:r>
        <w:rPr>
          <w:sz w:val="20"/>
        </w:rPr>
      </w:r>
      <w:r>
        <w:rPr>
          <w:sz w:val="20"/>
        </w:rPr>
      </w:r>
    </w:p>
    <w:p>
      <w:pPr>
        <w:rPr>
          <w:sz w:val="20"/>
          <w:szCs w:val="20"/>
        </w:rPr>
        <w:sectPr>
          <w:footnotePr/>
          <w:endnotePr/>
          <w:type w:val="nextPage"/>
          <w:pgSz w:w="11906" w:h="16838" w:orient="portrait"/>
          <w:pgMar w:top="1134" w:right="851" w:bottom="1134" w:left="1701" w:header="0" w:footer="113" w:gutter="0"/>
          <w:cols w:num="1" w:sep="0" w:space="720" w:equalWidth="1"/>
          <w:docGrid w:linePitch="360"/>
        </w:sectPr>
      </w:pPr>
      <w:r>
        <w:t xml:space="preserve"> </w:t>
      </w:r>
      <w:r>
        <w:br w:type="page" w:clear="all"/>
      </w:r>
      <w:r>
        <w:rPr>
          <w:sz w:val="20"/>
          <w:szCs w:val="20"/>
        </w:rPr>
      </w:r>
    </w:p>
    <w:p>
      <w:pPr>
        <w:pStyle w:val="1117"/>
        <w:ind w:left="360" w:firstLine="0"/>
        <w:tabs>
          <w:tab w:val="clear" w:pos="576" w:leader="none"/>
          <w:tab w:val="left" w:pos="1418" w:leader="none"/>
          <w:tab w:val="left" w:pos="1843" w:leader="none"/>
        </w:tabs>
        <w:rPr>
          <w:sz w:val="24"/>
          <w:szCs w:val="24"/>
        </w:rPr>
      </w:pPr>
      <w:r/>
      <w:bookmarkStart w:id="834" w:name="_Toc77780105"/>
      <w:r/>
      <w:bookmarkStart w:id="835" w:name="_Toc72248250"/>
      <w:r/>
      <w:bookmarkStart w:id="836" w:name="_Toc71745612"/>
      <w:r/>
      <w:bookmarkStart w:id="837" w:name="_Toc57713257"/>
      <w:r/>
      <w:bookmarkStart w:id="838" w:name="_Toc72483568"/>
      <w:r/>
      <w:bookmarkStart w:id="839" w:name="_Toc82786639"/>
      <w:r/>
      <w:bookmarkStart w:id="840" w:name="_Toc3292633"/>
      <w:r/>
      <w:bookmarkStart w:id="841" w:name="_Toc56442863"/>
      <w:r/>
      <w:bookmarkStart w:id="842" w:name="_Toc150782392"/>
      <w:r/>
      <w:bookmarkStart w:id="843" w:name="_Toc224650016"/>
      <w:r/>
      <w:bookmarkStart w:id="844" w:name="_Toc236307241"/>
      <w:r/>
      <w:bookmarkEnd w:id="834"/>
      <w:r/>
      <w:bookmarkEnd w:id="835"/>
      <w:r/>
      <w:bookmarkEnd w:id="836"/>
      <w:r/>
      <w:bookmarkEnd w:id="837"/>
      <w:r/>
      <w:bookmarkEnd w:id="838"/>
      <w:r/>
      <w:bookmarkEnd w:id="839"/>
      <w:r/>
      <w:bookmarkEnd w:id="840"/>
      <w:r/>
      <w:bookmarkEnd w:id="841"/>
      <w:r/>
      <w:bookmarkEnd w:id="842"/>
      <w:r>
        <w:rPr>
          <w:sz w:val="24"/>
          <w:szCs w:val="24"/>
        </w:rPr>
        <w:t xml:space="preserve">Форма № </w:t>
      </w:r>
      <w:r>
        <w:rPr>
          <w:sz w:val="24"/>
          <w:szCs w:val="24"/>
        </w:rPr>
        <w:t xml:space="preserve">7</w:t>
      </w:r>
      <w:r>
        <w:rPr>
          <w:sz w:val="24"/>
          <w:szCs w:val="24"/>
        </w:rPr>
        <w:t xml:space="preserve">. ПРЕДЛОЖЕНИЕ О ЦЕНЕ ДОГОВОРА</w:t>
      </w:r>
      <w:bookmarkEnd w:id="843"/>
      <w:r/>
      <w:bookmarkEnd w:id="844"/>
      <w:r>
        <w:rPr>
          <w:sz w:val="24"/>
          <w:szCs w:val="24"/>
        </w:rPr>
        <w:t xml:space="preserve"> </w:t>
      </w:r>
      <w:r>
        <w:rPr>
          <w:sz w:val="24"/>
          <w:szCs w:val="24"/>
        </w:rPr>
      </w:r>
    </w:p>
    <w:p>
      <w:r/>
      <w:r/>
    </w:p>
    <w:p>
      <w:pPr>
        <w:ind w:firstLine="851"/>
        <w:rPr>
          <w:color w:val="000000"/>
          <w:sz w:val="22"/>
          <w:szCs w:val="22"/>
        </w:rPr>
      </w:pPr>
      <w:r>
        <w:rPr>
          <w:color w:val="000000"/>
          <w:spacing w:val="-3"/>
          <w:sz w:val="22"/>
          <w:szCs w:val="22"/>
        </w:rPr>
        <w:t xml:space="preserve">В ценах на момент подачи Заявки: «</w:t>
      </w:r>
      <w:r>
        <w:rPr>
          <w:color w:val="000000"/>
          <w:sz w:val="22"/>
          <w:szCs w:val="22"/>
        </w:rPr>
        <w:t xml:space="preserve">____»___________________года  </w:t>
      </w:r>
      <w:r>
        <w:rPr>
          <w:color w:val="000000"/>
          <w:sz w:val="22"/>
          <w:szCs w:val="22"/>
        </w:rPr>
      </w:r>
    </w:p>
    <w:p>
      <w:pPr>
        <w:ind w:firstLine="851"/>
        <w:rPr>
          <w:b/>
          <w:bCs/>
          <w:iCs/>
          <w:color w:val="000000"/>
          <w:sz w:val="20"/>
          <w:szCs w:val="20"/>
        </w:rPr>
      </w:pPr>
      <w:r>
        <w:rPr>
          <w:b/>
          <w:bCs/>
          <w:iCs/>
          <w:color w:val="000000"/>
          <w:sz w:val="20"/>
          <w:szCs w:val="20"/>
        </w:rPr>
      </w:r>
      <w:r>
        <w:rPr>
          <w:b/>
          <w:bCs/>
          <w:iCs/>
          <w:color w:val="000000"/>
          <w:sz w:val="20"/>
          <w:szCs w:val="20"/>
        </w:rPr>
      </w:r>
    </w:p>
    <w:tbl>
      <w:tblPr>
        <w:tblW w:w="1516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60"/>
        <w:gridCol w:w="3493"/>
        <w:gridCol w:w="2835"/>
        <w:gridCol w:w="2126"/>
        <w:gridCol w:w="1985"/>
        <w:gridCol w:w="1701"/>
        <w:gridCol w:w="2268"/>
      </w:tblGrid>
      <w:tr>
        <w:tblPrEx/>
        <w:trPr>
          <w:trHeight w:val="300"/>
        </w:trPr>
        <w:tc>
          <w:tcPr>
            <w:gridSpan w:val="7"/>
            <w:tcBorders>
              <w:top w:val="single" w:color="auto" w:sz="4" w:space="0"/>
              <w:left w:val="single" w:color="auto" w:sz="4" w:space="0"/>
              <w:bottom w:val="single" w:color="auto" w:sz="4" w:space="0"/>
              <w:right w:val="single" w:color="auto" w:sz="4" w:space="0"/>
            </w:tcBorders>
            <w:tcW w:w="15168" w:type="dxa"/>
            <w:vAlign w:val="center"/>
            <w:textDirection w:val="lrTb"/>
            <w:noWrap/>
          </w:tcPr>
          <w:p>
            <w:pPr>
              <w:jc w:val="center"/>
              <w:spacing w:after="0"/>
              <w:rPr>
                <w:b/>
                <w:bCs/>
                <w:color w:val="000000"/>
                <w:sz w:val="16"/>
                <w:szCs w:val="16"/>
              </w:rPr>
            </w:pPr>
            <w:r>
              <w:rPr>
                <w:b/>
                <w:bCs/>
                <w:color w:val="000000"/>
                <w:sz w:val="16"/>
                <w:szCs w:val="16"/>
              </w:rPr>
            </w:r>
            <w:r>
              <w:rPr>
                <w:b/>
                <w:bCs/>
                <w:color w:val="000000"/>
                <w:sz w:val="16"/>
                <w:szCs w:val="16"/>
              </w:rPr>
            </w:r>
          </w:p>
        </w:tc>
      </w:tr>
      <w:tr>
        <w:tblPrEx/>
        <w:trPr>
          <w:trHeight w:val="300"/>
        </w:trPr>
        <w:tc>
          <w:tcPr>
            <w:tcBorders>
              <w:top w:val="single" w:color="auto" w:sz="4" w:space="0"/>
              <w:left w:val="single" w:color="auto" w:sz="4" w:space="0"/>
              <w:bottom w:val="single" w:color="auto" w:sz="4" w:space="0"/>
              <w:right w:val="single" w:color="auto" w:sz="4" w:space="0"/>
            </w:tcBorders>
            <w:tcW w:w="760" w:type="dxa"/>
            <w:vAlign w:val="center"/>
            <w:textDirection w:val="lrTb"/>
            <w:noWrap/>
          </w:tcPr>
          <w:p>
            <w:pPr>
              <w:jc w:val="center"/>
              <w:spacing w:after="0"/>
              <w:rPr>
                <w:b/>
                <w:bCs/>
                <w:color w:val="000000"/>
                <w:sz w:val="16"/>
                <w:szCs w:val="16"/>
              </w:rPr>
            </w:pPr>
            <w:r>
              <w:rPr>
                <w:b/>
                <w:bCs/>
                <w:color w:val="000000"/>
                <w:sz w:val="16"/>
                <w:szCs w:val="16"/>
              </w:rPr>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3493" w:type="dxa"/>
            <w:vAlign w:val="center"/>
            <w:textDirection w:val="lrTb"/>
            <w:noWrap/>
          </w:tcPr>
          <w:p>
            <w:pPr>
              <w:jc w:val="center"/>
              <w:spacing w:after="0"/>
              <w:rPr>
                <w:sz w:val="16"/>
                <w:szCs w:val="16"/>
              </w:rPr>
            </w:pPr>
            <w:r>
              <w:rPr>
                <w:sz w:val="16"/>
                <w:szCs w:val="16"/>
              </w:rPr>
            </w:r>
            <w:r>
              <w:rPr>
                <w:sz w:val="16"/>
                <w:szCs w:val="16"/>
              </w:rPr>
            </w:r>
          </w:p>
        </w:tc>
        <w:tc>
          <w:tcPr>
            <w:tcBorders>
              <w:top w:val="single" w:color="auto" w:sz="4" w:space="0"/>
              <w:left w:val="single" w:color="auto" w:sz="4" w:space="0"/>
              <w:bottom w:val="single" w:color="auto" w:sz="4" w:space="0"/>
              <w:right w:val="single" w:color="auto" w:sz="4" w:space="0"/>
            </w:tcBorders>
            <w:tcW w:w="2835" w:type="dxa"/>
            <w:vAlign w:val="center"/>
            <w:textDirection w:val="lrTb"/>
            <w:noWrap/>
          </w:tcPr>
          <w:p>
            <w:pPr>
              <w:spacing w:after="0"/>
              <w:rPr>
                <w:sz w:val="16"/>
                <w:szCs w:val="16"/>
              </w:rPr>
            </w:pPr>
            <w:r>
              <w:rPr>
                <w:sz w:val="16"/>
                <w:szCs w:val="16"/>
              </w:rPr>
            </w:r>
            <w:r>
              <w:rPr>
                <w:sz w:val="16"/>
                <w:szCs w:val="16"/>
              </w:rPr>
            </w:r>
          </w:p>
        </w:tc>
        <w:tc>
          <w:tcPr>
            <w:tcBorders>
              <w:top w:val="single" w:color="auto" w:sz="4" w:space="0"/>
              <w:left w:val="single" w:color="auto" w:sz="4" w:space="0"/>
              <w:bottom w:val="single" w:color="auto" w:sz="4" w:space="0"/>
              <w:right w:val="single" w:color="auto" w:sz="4" w:space="0"/>
            </w:tcBorders>
            <w:tcW w:w="2126" w:type="dxa"/>
            <w:vAlign w:val="bottom"/>
            <w:textDirection w:val="lrTb"/>
            <w:noWrap/>
          </w:tcPr>
          <w:p>
            <w:pPr>
              <w:jc w:val="center"/>
              <w:spacing w:after="0"/>
              <w:rPr>
                <w:sz w:val="16"/>
                <w:szCs w:val="16"/>
              </w:rPr>
            </w:pPr>
            <w:r>
              <w:rPr>
                <w:sz w:val="16"/>
                <w:szCs w:val="16"/>
              </w:rPr>
            </w:r>
            <w:r>
              <w:rPr>
                <w:sz w:val="16"/>
                <w:szCs w:val="16"/>
              </w:rPr>
            </w:r>
          </w:p>
        </w:tc>
        <w:tc>
          <w:tcPr>
            <w:tcBorders>
              <w:top w:val="single" w:color="auto" w:sz="4" w:space="0"/>
              <w:left w:val="single" w:color="auto" w:sz="4" w:space="0"/>
              <w:bottom w:val="single" w:color="auto" w:sz="4" w:space="0"/>
              <w:right w:val="single" w:color="auto" w:sz="4" w:space="0"/>
            </w:tcBorders>
            <w:tcW w:w="1985" w:type="dxa"/>
            <w:vAlign w:val="center"/>
            <w:textDirection w:val="lrTb"/>
            <w:noWrap/>
          </w:tcPr>
          <w:p>
            <w:pPr>
              <w:spacing w:after="0"/>
              <w:rPr>
                <w:sz w:val="16"/>
                <w:szCs w:val="16"/>
              </w:rPr>
            </w:pPr>
            <w:r>
              <w:rPr>
                <w:sz w:val="16"/>
                <w:szCs w:val="16"/>
              </w:rPr>
            </w:r>
            <w:r>
              <w:rPr>
                <w:sz w:val="16"/>
                <w:szCs w:val="16"/>
              </w:rPr>
            </w:r>
          </w:p>
        </w:tc>
        <w:tc>
          <w:tcPr>
            <w:tcBorders>
              <w:top w:val="single" w:color="auto" w:sz="4" w:space="0"/>
              <w:left w:val="single" w:color="auto" w:sz="4" w:space="0"/>
              <w:bottom w:val="single" w:color="auto" w:sz="4" w:space="0"/>
              <w:right w:val="single" w:color="auto" w:sz="4" w:space="0"/>
            </w:tcBorders>
            <w:tcW w:w="1701" w:type="dxa"/>
            <w:vAlign w:val="center"/>
            <w:textDirection w:val="lrTb"/>
            <w:noWrap/>
          </w:tcPr>
          <w:p>
            <w:pPr>
              <w:jc w:val="center"/>
              <w:spacing w:after="0"/>
              <w:rPr>
                <w:sz w:val="16"/>
                <w:szCs w:val="16"/>
              </w:rPr>
            </w:pPr>
            <w:r>
              <w:rPr>
                <w:sz w:val="16"/>
                <w:szCs w:val="16"/>
              </w:rPr>
            </w:r>
            <w:r>
              <w:rPr>
                <w:sz w:val="16"/>
                <w:szCs w:val="16"/>
              </w:rPr>
            </w:r>
          </w:p>
        </w:tc>
        <w:tc>
          <w:tcPr>
            <w:tcBorders>
              <w:top w:val="single" w:color="auto" w:sz="4" w:space="0"/>
              <w:left w:val="single" w:color="auto" w:sz="4" w:space="0"/>
              <w:bottom w:val="single" w:color="auto" w:sz="4" w:space="0"/>
              <w:right w:val="single" w:color="auto" w:sz="4" w:space="0"/>
            </w:tcBorders>
            <w:tcW w:w="2268" w:type="dxa"/>
            <w:vAlign w:val="center"/>
            <w:textDirection w:val="lrTb"/>
            <w:noWrap/>
          </w:tcPr>
          <w:p>
            <w:pPr>
              <w:jc w:val="center"/>
              <w:spacing w:after="0"/>
              <w:rPr>
                <w:sz w:val="16"/>
                <w:szCs w:val="16"/>
              </w:rPr>
            </w:pPr>
            <w:r>
              <w:rPr>
                <w:sz w:val="16"/>
                <w:szCs w:val="16"/>
              </w:rPr>
            </w:r>
            <w:r>
              <w:rPr>
                <w:sz w:val="16"/>
                <w:szCs w:val="16"/>
              </w:rPr>
            </w:r>
          </w:p>
        </w:tc>
      </w:tr>
      <w:tr>
        <w:tblPrEx/>
        <w:trPr>
          <w:trHeight w:val="885"/>
        </w:trPr>
        <w:tc>
          <w:tcPr>
            <w:tcBorders>
              <w:top w:val="single" w:color="auto" w:sz="4" w:space="0"/>
              <w:left w:val="single" w:color="auto" w:sz="4" w:space="0"/>
              <w:bottom w:val="single" w:color="auto" w:sz="4" w:space="0"/>
              <w:right w:val="single" w:color="auto" w:sz="4" w:space="0"/>
            </w:tcBorders>
            <w:tcW w:w="760" w:type="dxa"/>
            <w:vAlign w:val="center"/>
            <w:textDirection w:val="lrTb"/>
            <w:noWrap w:val="false"/>
          </w:tcPr>
          <w:p>
            <w:pPr>
              <w:jc w:val="center"/>
              <w:spacing w:after="0"/>
              <w:rPr>
                <w:b/>
                <w:bCs/>
                <w:color w:val="000000"/>
                <w:sz w:val="16"/>
                <w:szCs w:val="16"/>
              </w:rPr>
            </w:pPr>
            <w:r>
              <w:rPr>
                <w:b/>
                <w:bCs/>
                <w:color w:val="000000"/>
                <w:sz w:val="16"/>
                <w:szCs w:val="16"/>
              </w:rPr>
              <w:t xml:space="preserve">№</w:t>
            </w:r>
            <w:r>
              <w:rPr>
                <w:b/>
                <w:bCs/>
                <w:color w:val="000000"/>
                <w:sz w:val="16"/>
                <w:szCs w:val="16"/>
              </w:rPr>
              <w:br/>
            </w:r>
            <w:r>
              <w:rPr>
                <w:b/>
                <w:bCs/>
                <w:color w:val="000000"/>
                <w:sz w:val="16"/>
                <w:szCs w:val="16"/>
              </w:rPr>
              <w:t xml:space="preserve">п</w:t>
            </w:r>
            <w:r>
              <w:rPr>
                <w:b/>
                <w:bCs/>
                <w:color w:val="000000"/>
                <w:sz w:val="16"/>
                <w:szCs w:val="16"/>
              </w:rPr>
              <w:t xml:space="preserve">/п</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3493" w:type="dxa"/>
            <w:vAlign w:val="center"/>
            <w:textDirection w:val="lrTb"/>
            <w:noWrap w:val="false"/>
          </w:tcPr>
          <w:p>
            <w:pPr>
              <w:jc w:val="center"/>
              <w:spacing w:after="0"/>
              <w:rPr>
                <w:b/>
                <w:bCs/>
                <w:color w:val="000000"/>
                <w:sz w:val="16"/>
                <w:szCs w:val="16"/>
              </w:rPr>
            </w:pPr>
            <w:r>
              <w:rPr>
                <w:b/>
                <w:bCs/>
                <w:color w:val="000000"/>
                <w:sz w:val="16"/>
                <w:szCs w:val="16"/>
              </w:rPr>
              <w:t xml:space="preserve">Наименование услуг, наименование (идентификатор) основного средства или нематериального актива</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2835" w:type="dxa"/>
            <w:vAlign w:val="center"/>
            <w:textDirection w:val="lrTb"/>
            <w:noWrap w:val="false"/>
          </w:tcPr>
          <w:p>
            <w:pPr>
              <w:jc w:val="center"/>
              <w:spacing w:after="0"/>
              <w:rPr>
                <w:b/>
                <w:bCs/>
                <w:color w:val="000000"/>
                <w:sz w:val="16"/>
                <w:szCs w:val="16"/>
              </w:rPr>
            </w:pPr>
            <w:r>
              <w:rPr>
                <w:b/>
                <w:bCs/>
                <w:color w:val="000000"/>
                <w:sz w:val="16"/>
                <w:szCs w:val="16"/>
              </w:rPr>
              <w:t xml:space="preserve">Объем услуг (количество, единица измерения)</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2126" w:type="dxa"/>
            <w:vAlign w:val="center"/>
            <w:textDirection w:val="lrTb"/>
            <w:noWrap/>
          </w:tcPr>
          <w:p>
            <w:pPr>
              <w:jc w:val="center"/>
              <w:spacing w:after="0"/>
              <w:rPr>
                <w:b/>
                <w:bCs/>
                <w:color w:val="000000"/>
                <w:sz w:val="16"/>
                <w:szCs w:val="16"/>
              </w:rPr>
            </w:pPr>
            <w:r>
              <w:rPr>
                <w:b/>
                <w:bCs/>
                <w:color w:val="000000"/>
                <w:sz w:val="16"/>
                <w:szCs w:val="16"/>
              </w:rPr>
              <w:t xml:space="preserve">Период (квартал)</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1985" w:type="dxa"/>
            <w:vAlign w:val="center"/>
            <w:textDirection w:val="lrTb"/>
            <w:noWrap w:val="false"/>
          </w:tcPr>
          <w:p>
            <w:pPr>
              <w:jc w:val="center"/>
              <w:spacing w:after="0"/>
              <w:rPr>
                <w:b/>
                <w:bCs/>
                <w:color w:val="000000"/>
                <w:sz w:val="16"/>
                <w:szCs w:val="16"/>
              </w:rPr>
            </w:pPr>
            <w:r>
              <w:rPr>
                <w:b/>
                <w:bCs/>
                <w:color w:val="000000"/>
                <w:sz w:val="16"/>
                <w:szCs w:val="16"/>
              </w:rPr>
              <w:t xml:space="preserve">Цена за период, руб. без НДС</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1701" w:type="dxa"/>
            <w:vAlign w:val="center"/>
            <w:textDirection w:val="lrTb"/>
            <w:noWrap/>
          </w:tcPr>
          <w:p>
            <w:pPr>
              <w:jc w:val="center"/>
              <w:spacing w:after="0"/>
              <w:rPr>
                <w:b/>
                <w:bCs/>
                <w:color w:val="000000"/>
                <w:sz w:val="16"/>
                <w:szCs w:val="16"/>
              </w:rPr>
            </w:pPr>
            <w:r>
              <w:rPr>
                <w:b/>
                <w:bCs/>
                <w:color w:val="000000"/>
                <w:sz w:val="16"/>
                <w:szCs w:val="16"/>
              </w:rPr>
              <w:t xml:space="preserve">НДС, руб.</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2268" w:type="dxa"/>
            <w:vAlign w:val="center"/>
            <w:textDirection w:val="lrTb"/>
            <w:noWrap/>
          </w:tcPr>
          <w:p>
            <w:pPr>
              <w:jc w:val="center"/>
              <w:spacing w:after="0"/>
              <w:rPr>
                <w:b/>
                <w:bCs/>
                <w:color w:val="000000"/>
                <w:sz w:val="16"/>
                <w:szCs w:val="16"/>
              </w:rPr>
            </w:pPr>
            <w:r>
              <w:rPr>
                <w:b/>
                <w:bCs/>
                <w:color w:val="000000"/>
                <w:sz w:val="16"/>
                <w:szCs w:val="16"/>
              </w:rPr>
              <w:t xml:space="preserve">Цена за период, руб. с НДС</w:t>
            </w:r>
            <w:r>
              <w:rPr>
                <w:b/>
                <w:bCs/>
                <w:color w:val="000000"/>
                <w:sz w:val="16"/>
                <w:szCs w:val="16"/>
              </w:rPr>
            </w:r>
          </w:p>
        </w:tc>
      </w:tr>
      <w:tr>
        <w:tblPrEx/>
        <w:trPr>
          <w:trHeight w:val="315"/>
        </w:trPr>
        <w:tc>
          <w:tcPr>
            <w:tcBorders>
              <w:top w:val="single" w:color="auto" w:sz="4" w:space="0"/>
              <w:left w:val="single" w:color="auto" w:sz="4" w:space="0"/>
              <w:bottom w:val="single" w:color="auto" w:sz="4" w:space="0"/>
              <w:right w:val="single" w:color="auto" w:sz="4" w:space="0"/>
            </w:tcBorders>
            <w:tcW w:w="760" w:type="dxa"/>
            <w:vAlign w:val="center"/>
            <w:textDirection w:val="lrTb"/>
            <w:noWrap w:val="false"/>
          </w:tcPr>
          <w:p>
            <w:pPr>
              <w:jc w:val="center"/>
              <w:spacing w:after="0"/>
              <w:rPr>
                <w:b/>
                <w:bCs/>
                <w:color w:val="000000"/>
                <w:sz w:val="16"/>
                <w:szCs w:val="16"/>
              </w:rPr>
            </w:pPr>
            <w:r>
              <w:rPr>
                <w:b/>
                <w:bCs/>
                <w:color w:val="000000"/>
                <w:sz w:val="16"/>
                <w:szCs w:val="16"/>
              </w:rPr>
              <w:t xml:space="preserve">1.</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3493" w:type="dxa"/>
            <w:vAlign w:val="center"/>
            <w:textDirection w:val="lrTb"/>
            <w:noWrap w:val="false"/>
          </w:tcPr>
          <w:p>
            <w:pPr>
              <w:spacing w:after="0"/>
              <w:rPr>
                <w:b/>
                <w:bCs/>
                <w:color w:val="000000"/>
                <w:sz w:val="16"/>
                <w:szCs w:val="16"/>
              </w:rPr>
            </w:pPr>
            <w:r>
              <w:rPr>
                <w:b/>
                <w:bCs/>
                <w:color w:val="000000"/>
                <w:sz w:val="16"/>
                <w:szCs w:val="16"/>
              </w:rPr>
              <w:t xml:space="preserve">Сопровождение и техническая поддержка центра компетенций по управлению процессами и регламентацией на базе системы управления эксплуатацией цифровых сервисов с использованием отечественного программного обеспечения (</w:t>
            </w:r>
            <w:r>
              <w:rPr>
                <w:b/>
                <w:bCs/>
                <w:color w:val="000000"/>
                <w:sz w:val="16"/>
                <w:szCs w:val="16"/>
              </w:rPr>
              <w:t xml:space="preserve">АСУИИиК</w:t>
            </w:r>
            <w:r>
              <w:rPr>
                <w:b/>
                <w:bCs/>
                <w:color w:val="000000"/>
                <w:sz w:val="16"/>
                <w:szCs w:val="16"/>
              </w:rPr>
              <w:t xml:space="preserve">) ПАО «</w:t>
            </w:r>
            <w:r>
              <w:rPr>
                <w:b/>
                <w:bCs/>
                <w:color w:val="000000"/>
                <w:sz w:val="16"/>
                <w:szCs w:val="16"/>
              </w:rPr>
              <w:t xml:space="preserve">Россети</w:t>
            </w:r>
            <w:r>
              <w:rPr>
                <w:b/>
                <w:bCs/>
                <w:color w:val="000000"/>
                <w:sz w:val="16"/>
                <w:szCs w:val="16"/>
              </w:rPr>
              <w:t xml:space="preserve">»</w:t>
            </w:r>
            <w:r>
              <w:rPr>
                <w:b/>
                <w:bCs/>
                <w:color w:val="000000"/>
                <w:sz w:val="16"/>
                <w:szCs w:val="16"/>
              </w:rPr>
            </w:r>
          </w:p>
        </w:tc>
        <w:tc>
          <w:tcPr>
            <w:tcBorders>
              <w:top w:val="single" w:color="auto" w:sz="4" w:space="0"/>
              <w:left w:val="single" w:color="auto" w:sz="4" w:space="0"/>
              <w:bottom w:val="single" w:color="auto" w:sz="4" w:space="0"/>
              <w:right w:val="single" w:color="auto" w:sz="4" w:space="0"/>
            </w:tcBorders>
            <w:tcW w:w="2835" w:type="dxa"/>
            <w:vAlign w:val="center"/>
            <w:textDirection w:val="lrTb"/>
            <w:noWrap/>
          </w:tcPr>
          <w:p>
            <w:pPr>
              <w:jc w:val="center"/>
              <w:spacing w:after="0"/>
              <w:rPr>
                <w:color w:val="000000"/>
                <w:sz w:val="16"/>
                <w:szCs w:val="16"/>
              </w:rPr>
            </w:pPr>
            <w:r>
              <w:rPr>
                <w:color w:val="000000"/>
                <w:sz w:val="16"/>
                <w:szCs w:val="16"/>
              </w:rPr>
              <w:t xml:space="preserve">КЕ, Пользователей - 16, 150</w:t>
            </w:r>
            <w:r>
              <w:rPr>
                <w:color w:val="000000"/>
                <w:sz w:val="16"/>
                <w:szCs w:val="16"/>
              </w:rPr>
            </w:r>
          </w:p>
        </w:tc>
        <w:tc>
          <w:tcPr>
            <w:tcBorders>
              <w:top w:val="single" w:color="auto" w:sz="4" w:space="0"/>
              <w:left w:val="single" w:color="auto" w:sz="4" w:space="0"/>
              <w:bottom w:val="single" w:color="auto" w:sz="4" w:space="0"/>
              <w:right w:val="single" w:color="auto" w:sz="4" w:space="0"/>
            </w:tcBorders>
            <w:tcW w:w="2126" w:type="dxa"/>
            <w:vAlign w:val="center"/>
            <w:textDirection w:val="lrTb"/>
            <w:noWrap/>
          </w:tcPr>
          <w:p>
            <w:pPr>
              <w:jc w:val="center"/>
              <w:spacing w:after="0"/>
              <w:rPr>
                <w:color w:val="000000"/>
                <w:sz w:val="16"/>
                <w:szCs w:val="16"/>
              </w:rPr>
            </w:pPr>
            <w:r>
              <w:rPr>
                <w:color w:val="000000"/>
                <w:sz w:val="16"/>
                <w:szCs w:val="16"/>
              </w:rPr>
              <w:t xml:space="preserve">квартал</w:t>
            </w:r>
            <w:r>
              <w:rPr>
                <w:color w:val="000000"/>
                <w:sz w:val="16"/>
                <w:szCs w:val="16"/>
              </w:rPr>
            </w:r>
          </w:p>
        </w:tc>
        <w:tc>
          <w:tcPr>
            <w:tcBorders>
              <w:top w:val="single" w:color="auto" w:sz="4" w:space="0"/>
              <w:left w:val="single" w:color="auto" w:sz="4" w:space="0"/>
              <w:bottom w:val="single" w:color="auto" w:sz="4" w:space="0"/>
              <w:right w:val="single" w:color="auto" w:sz="4" w:space="0"/>
            </w:tcBorders>
            <w:tcW w:w="1985" w:type="dxa"/>
            <w:vAlign w:val="center"/>
            <w:textDirection w:val="lrTb"/>
            <w:noWrap/>
          </w:tcPr>
          <w:p>
            <w:pPr>
              <w:spacing w:after="200" w:line="276" w:lineRule="auto"/>
              <w:rPr>
                <w:sz w:val="22"/>
                <w:szCs w:val="22"/>
                <w:lang w:eastAsia="en-US"/>
              </w:rPr>
            </w:pPr>
            <w:r>
              <w:rPr>
                <w:sz w:val="22"/>
                <w:szCs w:val="22"/>
                <w:lang w:eastAsia="en-US"/>
              </w:rPr>
            </w:r>
            <w:r>
              <w:rPr>
                <w:sz w:val="22"/>
                <w:szCs w:val="22"/>
                <w:lang w:eastAsia="en-US"/>
              </w:rPr>
            </w:r>
          </w:p>
        </w:tc>
        <w:tc>
          <w:tcPr>
            <w:tcBorders>
              <w:top w:val="single" w:color="auto" w:sz="4" w:space="0"/>
              <w:left w:val="single" w:color="auto" w:sz="4" w:space="0"/>
              <w:bottom w:val="single" w:color="auto" w:sz="4" w:space="0"/>
              <w:right w:val="single" w:color="auto" w:sz="4" w:space="0"/>
            </w:tcBorders>
            <w:tcW w:w="1701" w:type="dxa"/>
            <w:vAlign w:val="center"/>
            <w:textDirection w:val="lrTb"/>
            <w:noWrap/>
          </w:tcPr>
          <w:p>
            <w:pPr>
              <w:spacing w:after="200" w:line="276" w:lineRule="auto"/>
              <w:rPr>
                <w:sz w:val="22"/>
                <w:szCs w:val="22"/>
                <w:lang w:eastAsia="en-US"/>
              </w:rPr>
            </w:pPr>
            <w:r>
              <w:rPr>
                <w:sz w:val="22"/>
                <w:szCs w:val="22"/>
                <w:lang w:eastAsia="en-US"/>
              </w:rPr>
            </w:r>
            <w:r>
              <w:rPr>
                <w:sz w:val="22"/>
                <w:szCs w:val="22"/>
                <w:lang w:eastAsia="en-US"/>
              </w:rPr>
            </w:r>
          </w:p>
        </w:tc>
        <w:tc>
          <w:tcPr>
            <w:tcBorders>
              <w:top w:val="single" w:color="auto" w:sz="4" w:space="0"/>
              <w:left w:val="single" w:color="auto" w:sz="4" w:space="0"/>
              <w:bottom w:val="single" w:color="auto" w:sz="4" w:space="0"/>
              <w:right w:val="single" w:color="auto" w:sz="4" w:space="0"/>
            </w:tcBorders>
            <w:tcW w:w="2268" w:type="dxa"/>
            <w:vAlign w:val="center"/>
            <w:textDirection w:val="lrTb"/>
            <w:noWrap/>
          </w:tcPr>
          <w:p>
            <w:pPr>
              <w:spacing w:after="200" w:line="276" w:lineRule="auto"/>
              <w:rPr>
                <w:sz w:val="22"/>
                <w:szCs w:val="22"/>
                <w:lang w:eastAsia="en-US"/>
              </w:rPr>
            </w:pPr>
            <w:r>
              <w:rPr>
                <w:sz w:val="22"/>
                <w:szCs w:val="22"/>
                <w:lang w:eastAsia="en-US"/>
              </w:rPr>
            </w:r>
            <w:r>
              <w:rPr>
                <w:sz w:val="22"/>
                <w:szCs w:val="22"/>
                <w:lang w:eastAsia="en-US"/>
              </w:rPr>
            </w:r>
          </w:p>
        </w:tc>
      </w:tr>
    </w:tbl>
    <w:p>
      <w:r>
        <w:t xml:space="preserve">               </w:t>
      </w:r>
      <w:r/>
    </w:p>
    <w:p>
      <w:r>
        <w:t xml:space="preserve">     </w:t>
      </w:r>
      <w:r/>
    </w:p>
    <w:tbl>
      <w:tblPr>
        <w:tblW w:w="5000" w:type="pct"/>
        <w:tblLook w:val="01E0" w:firstRow="1" w:lastRow="1" w:firstColumn="1" w:lastColumn="1" w:noHBand="0" w:noVBand="0"/>
      </w:tblPr>
      <w:tblGrid>
        <w:gridCol w:w="7919"/>
        <w:gridCol w:w="6867"/>
      </w:tblGrid>
      <w:tr>
        <w:tblPrEx/>
        <w:trPr>
          <w:cantSplit/>
        </w:trPr>
        <w:tc>
          <w:tcPr>
            <w:tcW w:w="2678" w:type="pct"/>
            <w:textDirection w:val="lrTb"/>
            <w:noWrap w:val="false"/>
          </w:tcPr>
          <w:p>
            <w:pPr>
              <w:ind w:firstLine="540"/>
              <w:tabs>
                <w:tab w:val="left" w:pos="1080" w:leader="none"/>
              </w:tabs>
            </w:pPr>
            <w:r>
              <w:t xml:space="preserve">Итого,</w:t>
            </w:r>
            <w:r>
              <w:t xml:space="preserve"> цена договора</w:t>
            </w:r>
            <w:r>
              <w:t xml:space="preserve"> с НДС, руб.</w:t>
            </w:r>
            <w:r/>
          </w:p>
        </w:tc>
        <w:tc>
          <w:tcPr>
            <w:tcW w:w="2322" w:type="pct"/>
            <w:textDirection w:val="lrTb"/>
            <w:noWrap w:val="false"/>
          </w:tcPr>
          <w:p>
            <w:pPr>
              <w:ind w:firstLine="540"/>
              <w:tabs>
                <w:tab w:val="left" w:pos="1080" w:leader="none"/>
              </w:tabs>
            </w:pPr>
            <w:r>
              <w:t xml:space="preserve">_______________________________</w:t>
            </w:r>
            <w:r/>
          </w:p>
          <w:p>
            <w:pPr>
              <w:ind w:left="486"/>
              <w:jc w:val="center"/>
              <w:tabs>
                <w:tab w:val="left" w:pos="1080" w:leader="none"/>
              </w:tabs>
              <w:rPr>
                <w:sz w:val="20"/>
                <w:vertAlign w:val="superscript"/>
              </w:rPr>
            </w:pPr>
            <w:r>
              <w:rPr>
                <w:sz w:val="20"/>
                <w:vertAlign w:val="superscript"/>
              </w:rPr>
              <w:t xml:space="preserve">(полная итоговая стоимость, рублей, с  НДС)</w:t>
            </w:r>
            <w:r>
              <w:rPr>
                <w:sz w:val="20"/>
                <w:vertAlign w:val="superscript"/>
              </w:rPr>
            </w:r>
          </w:p>
        </w:tc>
      </w:tr>
    </w:tbl>
    <w:p>
      <w:r/>
      <w:r/>
    </w:p>
    <w:p>
      <w:r>
        <w:t xml:space="preserve">___________________________________                 ______________________</w:t>
      </w:r>
      <w:r/>
    </w:p>
    <w:p>
      <w:pPr>
        <w:rPr>
          <w:vertAlign w:val="superscript"/>
        </w:rPr>
      </w:pPr>
      <w:r>
        <w:t xml:space="preserve"> </w:t>
      </w:r>
      <w:r>
        <w:rPr>
          <w:vertAlign w:val="superscript"/>
        </w:rPr>
        <w:t xml:space="preserve">(Подпись уполномоченного представителя)                                                  (Имя и должность подписавшего)</w:t>
      </w:r>
      <w:r>
        <w:rPr>
          <w:vertAlign w:val="superscript"/>
        </w:rPr>
      </w:r>
    </w:p>
    <w:p>
      <w:pPr>
        <w:rPr>
          <w:b/>
          <w:bCs/>
        </w:rPr>
      </w:pPr>
      <w:r>
        <w:rPr>
          <w:b/>
          <w:bCs/>
        </w:rPr>
        <w:t xml:space="preserve">М.П.</w:t>
      </w:r>
      <w:r>
        <w:rPr>
          <w:b/>
          <w:bCs/>
        </w:rPr>
      </w:r>
    </w:p>
    <w:p>
      <w:r/>
      <w:r/>
    </w:p>
    <w:p>
      <w:pPr>
        <w:ind w:right="1"/>
        <w:rPr>
          <w:b/>
          <w:sz w:val="20"/>
        </w:rPr>
      </w:pPr>
      <w:r>
        <w:rPr>
          <w:b/>
          <w:sz w:val="20"/>
        </w:rPr>
        <w:t xml:space="preserve">Инструкции по заполнению</w:t>
      </w:r>
      <w:r>
        <w:rPr>
          <w:b/>
          <w:sz w:val="20"/>
        </w:rPr>
      </w:r>
    </w:p>
    <w:p>
      <w:pPr>
        <w:numPr>
          <w:ilvl w:val="0"/>
          <w:numId w:val="59"/>
        </w:numPr>
        <w:ind w:left="0" w:firstLine="360"/>
        <w:spacing w:after="0"/>
        <w:tabs>
          <w:tab w:val="left" w:pos="709" w:leader="none"/>
        </w:tabs>
        <w:rPr>
          <w:sz w:val="20"/>
          <w:szCs w:val="20"/>
        </w:rPr>
      </w:pPr>
      <w:r>
        <w:rPr>
          <w:sz w:val="20"/>
          <w:szCs w:val="20"/>
        </w:rPr>
        <w:t xml:space="preserve">Данные инструкции не следует воспроизводить в документах, подготовленных Участником.</w:t>
      </w:r>
      <w:r>
        <w:rPr>
          <w:sz w:val="20"/>
          <w:szCs w:val="20"/>
        </w:rPr>
      </w:r>
    </w:p>
    <w:p>
      <w:pPr>
        <w:pStyle w:val="1352"/>
        <w:numPr>
          <w:ilvl w:val="0"/>
          <w:numId w:val="60"/>
        </w:numPr>
        <w:ind w:left="0" w:firstLine="360"/>
        <w:jc w:val="both"/>
        <w:rPr>
          <w:sz w:val="20"/>
          <w:szCs w:val="20"/>
        </w:rPr>
      </w:pPr>
      <w:r/>
      <w:bookmarkStart w:id="845" w:name="_Ref166329536_Копия_1"/>
      <w:r/>
      <w:bookmarkStart w:id="846" w:name="_Toc121292706_Копия_1"/>
      <w:r/>
      <w:bookmarkStart w:id="847" w:name="_Toc127334286_Копия_1"/>
      <w:r/>
      <w:bookmarkEnd w:id="845"/>
      <w:r/>
      <w:bookmarkEnd w:id="846"/>
      <w:r/>
      <w:bookmarkEnd w:id="847"/>
      <w:r>
        <w:rPr>
          <w:sz w:val="20"/>
          <w:szCs w:val="20"/>
        </w:rPr>
        <w:t xml:space="preserve">Заполненное участником закупки Предложение о цене договора (единицы товара</w:t>
      </w:r>
      <w:r>
        <w:rPr>
          <w:sz w:val="20"/>
          <w:szCs w:val="20"/>
        </w:rPr>
        <w:t xml:space="preserve">.</w:t>
      </w:r>
      <w:r>
        <w:rPr>
          <w:sz w:val="20"/>
          <w:szCs w:val="20"/>
        </w:rPr>
        <w:t xml:space="preserve"> </w:t>
      </w:r>
      <w:r>
        <w:rPr>
          <w:sz w:val="20"/>
          <w:szCs w:val="20"/>
        </w:rPr>
        <w:t xml:space="preserve">р</w:t>
      </w:r>
      <w:r>
        <w:rPr>
          <w:sz w:val="20"/>
          <w:szCs w:val="20"/>
        </w:rPr>
        <w:t xml:space="preserve">абота, услуги) будет являться информацией для включения в Приложение 2 Проекта договора, заключаемого по результатам закупки. Формы Проекта договора и приложения к нему установлены разделом IV «Проект договора» настоящей документации о закупке.</w:t>
      </w:r>
      <w:r>
        <w:rPr>
          <w:sz w:val="20"/>
          <w:szCs w:val="20"/>
        </w:rPr>
      </w:r>
    </w:p>
    <w:p>
      <w:pPr>
        <w:pStyle w:val="1352"/>
        <w:numPr>
          <w:ilvl w:val="0"/>
          <w:numId w:val="61"/>
        </w:numPr>
        <w:ind w:left="0" w:firstLine="360"/>
        <w:jc w:val="both"/>
        <w:rPr>
          <w:sz w:val="20"/>
          <w:szCs w:val="20"/>
        </w:rPr>
        <w:sectPr>
          <w:footerReference w:type="default" r:id="rId26"/>
          <w:footerReference w:type="even" r:id="rId27"/>
          <w:footerReference w:type="first" r:id="rId28"/>
          <w:footnotePr/>
          <w:endnotePr/>
          <w:type w:val="nextPage"/>
          <w:pgSz w:w="16838" w:h="11906" w:orient="landscape"/>
          <w:pgMar w:top="850" w:right="1134" w:bottom="1701" w:left="1134" w:header="0" w:footer="340" w:gutter="0"/>
          <w:cols w:num="1" w:sep="0" w:space="720" w:equalWidth="1"/>
          <w:docGrid w:linePitch="360"/>
        </w:sectPr>
      </w:pPr>
      <w:r>
        <w:rPr>
          <w:spacing w:val="-2"/>
          <w:sz w:val="20"/>
        </w:rPr>
        <w:t xml:space="preserve">Предложение о цене договора подается участником в полном соответствии с настоящей формой. В случае</w:t>
      </w:r>
      <w:r>
        <w:rPr>
          <w:spacing w:val="-2"/>
          <w:sz w:val="20"/>
        </w:rPr>
        <w:t xml:space="preserve">,</w:t>
      </w:r>
      <w:r>
        <w:rPr>
          <w:spacing w:val="-2"/>
          <w:sz w:val="20"/>
        </w:rPr>
        <w:t xml:space="preserve"> если форма Предложения о цене договора, включенная в документацию о закупке, содержит предварительно заполненн</w:t>
      </w:r>
      <w:r>
        <w:rPr>
          <w:spacing w:val="-2"/>
          <w:sz w:val="20"/>
        </w:rPr>
        <w:t xml:space="preserve">ые</w:t>
      </w:r>
      <w:r>
        <w:rPr>
          <w:spacing w:val="-2"/>
          <w:sz w:val="20"/>
        </w:rPr>
        <w:t xml:space="preserve"> граф</w:t>
      </w:r>
      <w:r>
        <w:rPr>
          <w:spacing w:val="-2"/>
          <w:sz w:val="20"/>
        </w:rPr>
        <w:t xml:space="preserve">ы</w:t>
      </w:r>
      <w:r>
        <w:rPr>
          <w:sz w:val="20"/>
          <w:szCs w:val="22"/>
          <w:lang w:eastAsia="en-US"/>
        </w:rPr>
        <w:t xml:space="preserve">, Участник должен заполнить все поля настоящей формы по каждому из пунктов, предварительно </w:t>
      </w:r>
      <w:r>
        <w:rPr>
          <w:sz w:val="20"/>
          <w:szCs w:val="22"/>
          <w:lang w:eastAsia="en-US"/>
        </w:rPr>
        <w:t xml:space="preserve">включенных</w:t>
      </w:r>
      <w:r>
        <w:rPr>
          <w:sz w:val="20"/>
          <w:szCs w:val="22"/>
          <w:lang w:eastAsia="en-US"/>
        </w:rPr>
        <w:t xml:space="preserve"> в таблицу.</w:t>
      </w:r>
      <w:r>
        <w:rPr>
          <w:spacing w:val="-2"/>
          <w:sz w:val="20"/>
        </w:rPr>
        <w:t xml:space="preserve"> </w:t>
      </w:r>
      <w:r>
        <w:br w:type="page" w:clear="all"/>
      </w:r>
      <w:r>
        <w:rPr>
          <w:sz w:val="20"/>
          <w:szCs w:val="20"/>
        </w:rPr>
      </w:r>
    </w:p>
    <w:p>
      <w:pPr>
        <w:pStyle w:val="1116"/>
        <w:numPr>
          <w:ilvl w:val="0"/>
          <w:numId w:val="6"/>
        </w:numPr>
        <w:ind w:left="0" w:firstLine="567"/>
        <w:spacing w:before="0" w:after="0"/>
        <w:rPr>
          <w:rStyle w:val="1206"/>
          <w:b/>
          <w:caps/>
          <w:sz w:val="28"/>
          <w:szCs w:val="28"/>
        </w:rPr>
      </w:pPr>
      <w:r/>
      <w:bookmarkStart w:id="848" w:name="_Toc166101237"/>
      <w:r/>
      <w:bookmarkStart w:id="849" w:name="_Ref166247657"/>
      <w:r/>
      <w:bookmarkStart w:id="850" w:name="_Ref166247661"/>
      <w:r/>
      <w:bookmarkStart w:id="851" w:name="_Ref166249240"/>
      <w:r/>
      <w:bookmarkStart w:id="852" w:name="_Ref166249243"/>
      <w:r/>
      <w:bookmarkStart w:id="853" w:name="_Ref166311450"/>
      <w:r/>
      <w:bookmarkStart w:id="854" w:name="_Ref166311452"/>
      <w:r/>
      <w:bookmarkStart w:id="855" w:name="_Ref166334805"/>
      <w:r/>
      <w:bookmarkStart w:id="856" w:name="_Ref166334809"/>
      <w:r/>
      <w:bookmarkStart w:id="857" w:name="_Toc291689566"/>
      <w:r/>
      <w:bookmarkStart w:id="858" w:name="_Toc175583320"/>
      <w:r/>
      <w:bookmarkStart w:id="859" w:name="_Toc224650017"/>
      <w:r/>
      <w:bookmarkStart w:id="860" w:name="_Toc236307242"/>
      <w:r>
        <w:rPr>
          <w:rStyle w:val="1206"/>
          <w:b/>
          <w:caps/>
          <w:sz w:val="28"/>
          <w:szCs w:val="28"/>
        </w:rPr>
        <w:t xml:space="preserve">ПРОЕКТ ДОГОВОРА</w:t>
      </w:r>
      <w:bookmarkEnd w:id="848"/>
      <w:r/>
      <w:bookmarkEnd w:id="849"/>
      <w:r/>
      <w:bookmarkEnd w:id="850"/>
      <w:r/>
      <w:bookmarkEnd w:id="851"/>
      <w:r/>
      <w:bookmarkEnd w:id="852"/>
      <w:r/>
      <w:bookmarkEnd w:id="853"/>
      <w:r/>
      <w:bookmarkEnd w:id="854"/>
      <w:r/>
      <w:bookmarkEnd w:id="855"/>
      <w:r/>
      <w:bookmarkEnd w:id="856"/>
      <w:r/>
      <w:bookmarkEnd w:id="857"/>
      <w:r/>
      <w:bookmarkEnd w:id="858"/>
      <w:r/>
      <w:bookmarkEnd w:id="859"/>
      <w:r/>
      <w:bookmarkEnd w:id="860"/>
      <w:r/>
      <w:r>
        <w:rPr>
          <w:rStyle w:val="1206"/>
          <w:b/>
          <w:caps/>
          <w:sz w:val="28"/>
          <w:szCs w:val="28"/>
        </w:rPr>
      </w:r>
    </w:p>
    <w:p>
      <w:pPr>
        <w:jc w:val="left"/>
        <w:spacing w:after="0"/>
        <w:rPr>
          <w:bCs/>
        </w:rPr>
      </w:pPr>
      <w:r>
        <w:rPr>
          <w:bCs/>
        </w:rPr>
      </w:r>
      <w:r>
        <w:rPr>
          <w:bCs/>
        </w:rPr>
      </w:r>
    </w:p>
    <w:p>
      <w:pPr>
        <w:pStyle w:val="1116"/>
        <w:numPr>
          <w:ilvl w:val="0"/>
          <w:numId w:val="6"/>
        </w:numPr>
        <w:ind w:left="0" w:firstLine="567"/>
        <w:spacing w:before="0" w:after="0"/>
        <w:rPr>
          <w:rStyle w:val="1206"/>
          <w:b/>
          <w:sz w:val="28"/>
          <w:szCs w:val="28"/>
        </w:rPr>
      </w:pPr>
      <w:r/>
      <w:bookmarkStart w:id="861" w:name="_Toc166101238"/>
      <w:r/>
      <w:bookmarkStart w:id="862" w:name="_Ref166247676"/>
      <w:r/>
      <w:bookmarkStart w:id="863" w:name="_Toc291689567"/>
      <w:r/>
      <w:bookmarkStart w:id="864" w:name="_Toc175583321"/>
      <w:r/>
      <w:bookmarkStart w:id="865" w:name="_Toc224650018"/>
      <w:r/>
      <w:bookmarkStart w:id="866" w:name="_Toc236307243"/>
      <w:r/>
      <w:bookmarkEnd w:id="861"/>
      <w:r>
        <w:rPr>
          <w:rStyle w:val="1206"/>
          <w:b/>
          <w:sz w:val="28"/>
          <w:szCs w:val="28"/>
        </w:rPr>
        <w:t xml:space="preserve">ТЕХНИЧЕСКАЯ ЧАСТЬ</w:t>
      </w:r>
      <w:bookmarkEnd w:id="862"/>
      <w:r/>
      <w:bookmarkEnd w:id="863"/>
      <w:r/>
      <w:bookmarkEnd w:id="864"/>
      <w:r/>
      <w:bookmarkEnd w:id="865"/>
      <w:r/>
      <w:bookmarkEnd w:id="866"/>
      <w:r/>
      <w:r>
        <w:rPr>
          <w:rStyle w:val="1206"/>
          <w:b/>
          <w:sz w:val="28"/>
          <w:szCs w:val="28"/>
        </w:rPr>
      </w:r>
    </w:p>
    <w:p>
      <w:pPr>
        <w:jc w:val="left"/>
        <w:spacing w:after="0"/>
        <w:rPr>
          <w:rStyle w:val="1206"/>
          <w:bCs w:val="0"/>
          <w:sz w:val="28"/>
          <w:szCs w:val="28"/>
        </w:rPr>
      </w:pPr>
      <w:r>
        <w:rPr>
          <w:bCs w:val="0"/>
          <w:sz w:val="28"/>
          <w:szCs w:val="28"/>
        </w:rPr>
      </w:r>
      <w:r>
        <w:rPr>
          <w:rStyle w:val="1206"/>
          <w:bCs w:val="0"/>
          <w:sz w:val="28"/>
          <w:szCs w:val="28"/>
        </w:rPr>
      </w:r>
    </w:p>
    <w:p>
      <w:pPr>
        <w:pStyle w:val="1116"/>
        <w:numPr>
          <w:ilvl w:val="0"/>
          <w:numId w:val="6"/>
        </w:numPr>
        <w:ind w:left="0" w:firstLine="567"/>
        <w:spacing w:before="0" w:after="0"/>
        <w:rPr>
          <w:bCs w:val="0"/>
          <w:sz w:val="28"/>
          <w:szCs w:val="28"/>
        </w:rPr>
        <w:sectPr>
          <w:footerReference w:type="default" r:id="rId29"/>
          <w:footerReference w:type="even" r:id="rId30"/>
          <w:footerReference w:type="first" r:id="rId31"/>
          <w:footnotePr/>
          <w:endnotePr/>
          <w:type w:val="nextPage"/>
          <w:pgSz w:w="11906" w:h="16838" w:orient="portrait"/>
          <w:pgMar w:top="1134" w:right="1701" w:bottom="1134" w:left="851" w:header="0" w:footer="340" w:gutter="0"/>
          <w:cols w:num="1" w:sep="0" w:space="720" w:equalWidth="1"/>
          <w:docGrid w:linePitch="360"/>
        </w:sectPr>
      </w:pPr>
      <w:r/>
      <w:bookmarkStart w:id="867" w:name="_Toc175583322"/>
      <w:r/>
      <w:bookmarkStart w:id="868" w:name="_Toc224650019"/>
      <w:r/>
      <w:bookmarkStart w:id="869" w:name="_Toc236307244"/>
      <w:r>
        <w:rPr>
          <w:rStyle w:val="1206"/>
          <w:b/>
          <w:sz w:val="28"/>
          <w:szCs w:val="28"/>
        </w:rPr>
        <w:t xml:space="preserve">ОБОСНОВАНИЕ НАЧАЛЬНОЙ (МАКСИМАЛЬНОЙ) </w:t>
      </w:r>
      <w:bookmarkEnd w:id="867"/>
      <w:r>
        <w:rPr>
          <w:rStyle w:val="1206"/>
          <w:b/>
          <w:sz w:val="28"/>
          <w:szCs w:val="28"/>
        </w:rPr>
        <w:t xml:space="preserve">ЦЕНЫ ДОГОВОР</w:t>
      </w:r>
      <w:bookmarkEnd w:id="868"/>
      <w:r>
        <w:rPr>
          <w:rStyle w:val="1206"/>
          <w:b/>
          <w:sz w:val="28"/>
          <w:szCs w:val="28"/>
        </w:rPr>
        <w:t xml:space="preserve">А</w:t>
      </w:r>
      <w:bookmarkEnd w:id="869"/>
      <w:r/>
      <w:r>
        <w:rPr>
          <w:bCs w:val="0"/>
          <w:sz w:val="28"/>
          <w:szCs w:val="28"/>
        </w:rPr>
      </w:r>
    </w:p>
    <w:p>
      <w:r/>
      <w:r/>
    </w:p>
    <w:sectPr>
      <w:footerReference w:type="default" r:id="rId32"/>
      <w:footerReference w:type="even" r:id="rId33"/>
      <w:footerReference w:type="first" r:id="rId34"/>
      <w:footnotePr/>
      <w:endnotePr/>
      <w:type w:val="nextPage"/>
      <w:pgSz w:w="16838" w:h="11906" w:orient="landscape"/>
      <w:pgMar w:top="850" w:right="1134" w:bottom="1701" w:left="1134" w:header="0" w:footer="34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font>
  <w:font w:name="Cambria Math">
    <w:panose1 w:val="02000603000000000000"/>
  </w:font>
  <w:font w:name="Symbol">
    <w:panose1 w:val="05010000000000000000"/>
  </w:font>
  <w:font w:name="Arial (WT)">
    <w:panose1 w:val="020B0604020202020204"/>
  </w:font>
  <w:font w:name="SimSun">
    <w:panose1 w:val="02000506000000020000"/>
  </w:font>
  <w:font w:name="ISOCPEUR">
    <w:panose1 w:val="02000603000000000000"/>
  </w:font>
  <w:font w:name="TimesDL">
    <w:panose1 w:val="02000603000000000000"/>
  </w:font>
  <w:font w:name="Courier">
    <w:panose1 w:val="02070309020205020404"/>
  </w:font>
  <w:font w:name="Wingdings">
    <w:panose1 w:val="05010000000000000000"/>
  </w:font>
  <w:font w:name="Liberation Sans">
    <w:panose1 w:val="020B0604020202020204"/>
  </w:font>
  <w:font w:name="Tinos">
    <w:panose1 w:val="02020603050405020304"/>
  </w:font>
  <w:font w:name="TimesNewRomanPSMT">
    <w:panose1 w:val="02020603050405020304"/>
  </w:font>
  <w:font w:name="Courier New">
    <w:panose1 w:val="02070309020205020404"/>
  </w:font>
  <w:font w:name="Noto Sans Devanagari">
    <w:panose1 w:val="020B0502040504020204"/>
  </w:font>
  <w:font w:name="Franklin Gothic Demi Cond">
    <w:panose1 w:val="020B0706020203020204"/>
  </w:font>
  <w:font w:name="Arial CYR">
    <w:panose1 w:val="020B0604020202020204"/>
  </w:font>
  <w:font w:name="Cambria">
    <w:panose1 w:val="02040503050406030204"/>
  </w:font>
  <w:font w:name="Calibri">
    <w:panose1 w:val="020F0502020204030204"/>
  </w:font>
  <w:font w:name="Arial">
    <w:panose1 w:val="020B0604020202020204"/>
  </w:font>
  <w:font w:name="Tahoma">
    <w:panose1 w:val="020B0604030504040204"/>
  </w:font>
  <w:font w:name="MS Mincho">
    <w:panose1 w:val="02020603050405090304"/>
  </w:font>
  <w:font w:name="Noto Sans">
    <w:panose1 w:val="020B0502040504020204"/>
  </w:font>
  <w:font w:name="Times New Roman">
    <w:panose1 w:val="02020603050405020304"/>
  </w:font>
  <w:font w:name="Arial Narrow">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37</w:t>
    </w:r>
    <w:r>
      <w:rPr>
        <w:rStyle w:val="1168"/>
        <w:bCs/>
        <w:sz w:val="16"/>
        <w:szCs w:val="16"/>
      </w:rPr>
      <w:fldChar w:fldCharType="end"/>
    </w:r>
    <w:r>
      <w:rPr>
        <w:rStyle w:val="1168"/>
        <w:bCs/>
        <w:sz w:val="16"/>
        <w:szCs w:val="16"/>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42</w:t>
    </w:r>
    <w:r>
      <w:rPr>
        <w:rStyle w:val="1168"/>
        <w:bCs/>
        <w:sz w:val="16"/>
        <w:szCs w:val="16"/>
      </w:rPr>
      <w:fldChar w:fldCharType="end"/>
    </w:r>
    <w:r>
      <w:rPr>
        <w:rStyle w:val="1168"/>
        <w:bCs/>
        <w:sz w:val="16"/>
        <w:szCs w:val="16"/>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44</w:t>
    </w:r>
    <w:r>
      <w:rPr>
        <w:rStyle w:val="1168"/>
        <w:bCs/>
        <w:sz w:val="16"/>
        <w:szCs w:val="16"/>
      </w:rPr>
      <w:fldChar w:fldCharType="end"/>
    </w:r>
    <w:r>
      <w:rPr>
        <w:rStyle w:val="1168"/>
        <w:bCs/>
        <w:sz w:val="16"/>
        <w:szCs w:val="16"/>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49</w:t>
    </w:r>
    <w:r>
      <w:rPr>
        <w:rStyle w:val="1168"/>
        <w:bCs/>
        <w:sz w:val="16"/>
        <w:szCs w:val="16"/>
      </w:rPr>
      <w:fldChar w:fldCharType="end"/>
    </w:r>
    <w:r>
      <w:rPr>
        <w:rStyle w:val="1168"/>
        <w:bCs/>
        <w:sz w:val="16"/>
        <w:szCs w:val="16"/>
      </w:rPr>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50</w:t>
    </w:r>
    <w:r>
      <w:rPr>
        <w:rStyle w:val="1168"/>
        <w:bCs/>
        <w:sz w:val="16"/>
        <w:szCs w:val="16"/>
      </w:rPr>
      <w:fldChar w:fldCharType="end"/>
    </w:r>
    <w:r>
      <w:rPr>
        <w:rStyle w:val="1168"/>
        <w:bCs/>
        <w:sz w:val="16"/>
        <w:szCs w:val="16"/>
      </w:rPr>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52</w:t>
    </w:r>
    <w:r>
      <w:rPr>
        <w:rStyle w:val="1168"/>
        <w:bCs/>
        <w:sz w:val="16"/>
        <w:szCs w:val="16"/>
      </w:rPr>
      <w:fldChar w:fldCharType="end"/>
    </w:r>
    <w:r>
      <w:rPr>
        <w:rStyle w:val="1168"/>
        <w:bCs/>
        <w:sz w:val="16"/>
        <w:szCs w:val="16"/>
      </w:rPr>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53</w:t>
    </w:r>
    <w:r>
      <w:rPr>
        <w:rStyle w:val="1168"/>
        <w:bCs/>
        <w:sz w:val="16"/>
        <w:szCs w:val="16"/>
      </w:rPr>
      <w:fldChar w:fldCharType="end"/>
    </w:r>
    <w:r>
      <w:rPr>
        <w:rStyle w:val="1168"/>
        <w:bCs/>
        <w:sz w:val="16"/>
        <w:szCs w:val="16"/>
      </w:rPr>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54</w:t>
    </w:r>
    <w:r>
      <w:rPr>
        <w:rStyle w:val="1168"/>
        <w:bCs/>
        <w:sz w:val="16"/>
        <w:szCs w:val="16"/>
      </w:rPr>
      <w:fldChar w:fldCharType="end"/>
    </w:r>
    <w:r>
      <w:rPr>
        <w:rStyle w:val="1168"/>
        <w:bCs/>
        <w:sz w:val="16"/>
        <w:szCs w:val="16"/>
      </w:rPr>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ind w:firstLine="567"/>
      <w:jc w:val="right"/>
      <w:rPr>
        <w:rStyle w:val="1168"/>
        <w:bCs/>
        <w:sz w:val="16"/>
        <w:szCs w:val="16"/>
      </w:rPr>
    </w:pPr>
    <w:r>
      <w:rPr>
        <w:bCs/>
        <w:sz w:val="16"/>
        <w:szCs w:val="16"/>
      </w:rPr>
      <w:t xml:space="preserve">Стр.</w:t>
    </w:r>
    <w:r>
      <w:rPr>
        <w:rStyle w:val="1168"/>
        <w:bCs/>
        <w:sz w:val="16"/>
        <w:szCs w:val="16"/>
      </w:rPr>
      <w:fldChar w:fldCharType="begin"/>
    </w:r>
    <w:r>
      <w:rPr>
        <w:rStyle w:val="1168"/>
        <w:bCs/>
        <w:sz w:val="16"/>
        <w:szCs w:val="16"/>
      </w:rPr>
      <w:instrText xml:space="preserve"> PAGE </w:instrText>
    </w:r>
    <w:r>
      <w:rPr>
        <w:rStyle w:val="1168"/>
        <w:bCs/>
        <w:sz w:val="16"/>
        <w:szCs w:val="16"/>
      </w:rPr>
      <w:fldChar w:fldCharType="separate"/>
    </w:r>
    <w:r>
      <w:rPr>
        <w:rStyle w:val="1168"/>
        <w:bCs/>
        <w:sz w:val="16"/>
        <w:szCs w:val="16"/>
      </w:rPr>
      <w:t xml:space="preserve">55</w:t>
    </w:r>
    <w:r>
      <w:rPr>
        <w:rStyle w:val="1168"/>
        <w:bCs/>
        <w:sz w:val="16"/>
        <w:szCs w:val="16"/>
      </w:rPr>
      <w:fldChar w:fldCharType="end"/>
    </w:r>
    <w:r>
      <w:rPr>
        <w:rStyle w:val="1168"/>
        <w:bCs/>
        <w:sz w:val="16"/>
        <w:szCs w:val="16"/>
      </w:rPr>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87"/>
    </w:pPr>
    <w:r/>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 w:id="2">
    <w:p>
      <w:pPr>
        <w:pStyle w:val="1286"/>
      </w:pPr>
      <w:r>
        <w:rPr>
          <w:rStyle w:val="1165"/>
        </w:rPr>
        <w:footnoteRef/>
      </w:r>
      <w:r>
        <w:t xml:space="preserve"> Под ценовым предложением в целях предоставления преимущества также </w:t>
      </w:r>
      <w:r>
        <w:t xml:space="preserve">понимается общая стоимость единичных расценок, уменьшенная на коэффициент снижения, предложенный участником, если в соответствии с документацией о закупке он установлен в качестве конкурентного параметра (используемого для сравнения предложений участников)</w:t>
      </w:r>
      <w:r/>
    </w:p>
  </w:footnote>
  <w:footnote w:id="3">
    <w:p>
      <w:pPr>
        <w:pStyle w:val="1286"/>
      </w:pPr>
      <w:r>
        <w:rPr>
          <w:rStyle w:val="1165"/>
        </w:rPr>
        <w:footnoteRef/>
      </w:r>
      <w:r>
        <w:t xml:space="preserve"> Предоставление независимой гарантии на срок, превышающий 100 календарных дней, не является основанием для отклонения заявки участника.</w:t>
      </w:r>
      <w:r/>
    </w:p>
  </w:footnote>
  <w:footnote w:id="4">
    <w:p>
      <w:pPr>
        <w:pStyle w:val="1286"/>
      </w:pPr>
      <w:r>
        <w:rPr>
          <w:rStyle w:val="1165"/>
        </w:rPr>
        <w:footnoteRef/>
      </w:r>
      <w:r>
        <w:t xml:space="preserve"> Под и</w:t>
      </w:r>
      <w:r>
        <w:t xml:space="preserve">нформацией о цепочке собственников подразумеваются: данные об участниках; в отношении участников, являющихся юридическими лицами, данные об их участниках и т.д., включая бенефициаров (в том числе конечных), а также сведений о составе исполнительных органов</w:t>
      </w:r>
      <w:r/>
    </w:p>
  </w:footnote>
  <w:footnote w:id="5">
    <w:p>
      <w:pPr>
        <w:pStyle w:val="1286"/>
      </w:pPr>
      <w:r>
        <w:rPr>
          <w:rStyle w:val="1165"/>
        </w:rPr>
        <w:footnoteRef/>
      </w:r>
      <w:r>
        <w:t xml:space="preserve"> В случае по</w:t>
      </w:r>
      <w:r>
        <w:t xml:space="preserve">ступления на этап оценки единственной заявки (вследствие подачи на закупку единственной заявки либо отклонения всех поступивших заявок на этапе их рассмотрения, кроме одной, ввиду несоответствия требованиям документации) проведение оценки не осуществляется</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4"/>
      <w:numFmt w:val="decimal"/>
      <w:isLgl/>
      <w:suff w:val="tab"/>
      <w:lvlText w:val="%1."/>
      <w:lvlJc w:val="left"/>
      <w:pPr>
        <w:ind w:left="540" w:hanging="540"/>
        <w:tabs>
          <w:tab w:val="num" w:pos="0" w:leader="none"/>
        </w:tabs>
      </w:pPr>
    </w:lvl>
    <w:lvl w:ilvl="1">
      <w:start w:val="1"/>
      <w:numFmt w:val="decimal"/>
      <w:isLgl/>
      <w:suff w:val="tab"/>
      <w:lvlText w:val="%1.%2."/>
      <w:lvlJc w:val="left"/>
      <w:pPr>
        <w:ind w:left="1250" w:hanging="540"/>
        <w:tabs>
          <w:tab w:val="num" w:pos="710" w:leader="none"/>
        </w:tabs>
      </w:pPr>
    </w:lvl>
    <w:lvl w:ilvl="2">
      <w:start w:val="1"/>
      <w:numFmt w:val="decimal"/>
      <w:isLgl/>
      <w:suff w:val="tab"/>
      <w:lvlText w:val="%1.%2.%3."/>
      <w:lvlJc w:val="left"/>
      <w:pPr>
        <w:ind w:left="720" w:hanging="720"/>
        <w:tabs>
          <w:tab w:val="num" w:pos="0" w:leader="none"/>
        </w:tabs>
      </w:pPr>
      <w:rPr>
        <w:rFonts w:ascii="Times New Roman" w:hAnsi="Times New Roman" w:cs="Times New Roman"/>
        <w:b w:val="0"/>
        <w:sz w:val="24"/>
        <w:szCs w:val="24"/>
      </w:rPr>
    </w:lvl>
    <w:lvl w:ilvl="3">
      <w:start w:val="1"/>
      <w:numFmt w:val="decimal"/>
      <w:isLgl/>
      <w:suff w:val="tab"/>
      <w:lvlText w:val="%1.%2.%3.%4."/>
      <w:lvlJc w:val="left"/>
      <w:pPr>
        <w:ind w:left="720" w:hanging="720"/>
        <w:tabs>
          <w:tab w:val="num" w:pos="0" w:leader="none"/>
        </w:tabs>
      </w:pPr>
    </w:lvl>
    <w:lvl w:ilvl="4">
      <w:start w:val="1"/>
      <w:numFmt w:val="decimal"/>
      <w:isLgl/>
      <w:suff w:val="tab"/>
      <w:lvlText w:val="%1.%2.%3.%4.%5."/>
      <w:lvlJc w:val="left"/>
      <w:pPr>
        <w:ind w:left="1080" w:hanging="1080"/>
        <w:tabs>
          <w:tab w:val="num" w:pos="0" w:leader="none"/>
        </w:tabs>
      </w:pPr>
    </w:lvl>
    <w:lvl w:ilvl="5">
      <w:start w:val="1"/>
      <w:numFmt w:val="decimal"/>
      <w:isLgl/>
      <w:suff w:val="tab"/>
      <w:lvlText w:val="%1.%2.%3.%4.%5.%6."/>
      <w:lvlJc w:val="left"/>
      <w:pPr>
        <w:ind w:left="1080" w:hanging="1080"/>
        <w:tabs>
          <w:tab w:val="num" w:pos="0" w:leader="none"/>
        </w:tabs>
      </w:pPr>
    </w:lvl>
    <w:lvl w:ilvl="6">
      <w:start w:val="1"/>
      <w:numFmt w:val="decimal"/>
      <w:isLgl/>
      <w:suff w:val="tab"/>
      <w:lvlText w:val="%1.%2.%3.%4.%5.%6.%7."/>
      <w:lvlJc w:val="left"/>
      <w:pPr>
        <w:ind w:left="1440" w:hanging="1440"/>
        <w:tabs>
          <w:tab w:val="num" w:pos="0" w:leader="none"/>
        </w:tabs>
      </w:pPr>
    </w:lvl>
    <w:lvl w:ilvl="7">
      <w:start w:val="1"/>
      <w:numFmt w:val="decimal"/>
      <w:isLgl/>
      <w:suff w:val="tab"/>
      <w:lvlText w:val="%1.%2.%3.%4.%5.%6.%7.%8."/>
      <w:lvlJc w:val="left"/>
      <w:pPr>
        <w:ind w:left="1440" w:hanging="1440"/>
        <w:tabs>
          <w:tab w:val="num" w:pos="0" w:leader="none"/>
        </w:tabs>
      </w:pPr>
    </w:lvl>
    <w:lvl w:ilvl="8">
      <w:start w:val="1"/>
      <w:numFmt w:val="decimal"/>
      <w:isLgl/>
      <w:suff w:val="tab"/>
      <w:lvlText w:val="%1.%2.%3.%4.%5.%6.%7.%8.%9."/>
      <w:lvlJc w:val="left"/>
      <w:pPr>
        <w:ind w:left="1800" w:hanging="1800"/>
        <w:tabs>
          <w:tab w:val="num" w:pos="0" w:leader="none"/>
        </w:tabs>
      </w:pPr>
    </w:lvl>
  </w:abstractNum>
  <w:abstractNum w:abstractNumId="1">
    <w:multiLevelType w:val="hybridMultilevel"/>
    <w:lvl w:ilvl="0">
      <w:start w:val="1"/>
      <w:numFmt w:val="decimal"/>
      <w:isLgl/>
      <w:suff w:val="tab"/>
      <w:lvlText w:val="%1."/>
      <w:lvlJc w:val="left"/>
      <w:pPr>
        <w:ind w:left="1080" w:hanging="360"/>
        <w:tabs>
          <w:tab w:val="num" w:pos="0" w:leader="none"/>
        </w:tabs>
      </w:pPr>
      <w:rPr>
        <w:rFonts w:ascii="Times New Roman" w:hAnsi="Times New Roman" w:cs="Times New Roman"/>
        <w:b w:val="0"/>
        <w:i w:val="0"/>
        <w:strike w:val="0"/>
        <w:color w:val="auto"/>
        <w:sz w:val="20"/>
        <w:szCs w:val="20"/>
      </w:rPr>
    </w:lvl>
    <w:lvl w:ilvl="1">
      <w:start w:val="1"/>
      <w:numFmt w:val="lowerLetter"/>
      <w:isLgl/>
      <w:suff w:val="tab"/>
      <w:lvlText w:val="%2."/>
      <w:lvlJc w:val="left"/>
      <w:pPr>
        <w:ind w:left="1800" w:hanging="360"/>
        <w:tabs>
          <w:tab w:val="num" w:pos="0" w:leader="none"/>
        </w:tabs>
      </w:pPr>
    </w:lvl>
    <w:lvl w:ilvl="2">
      <w:start w:val="1"/>
      <w:numFmt w:val="lowerRoman"/>
      <w:isLgl/>
      <w:suff w:val="tab"/>
      <w:lvlText w:val="%3."/>
      <w:lvlJc w:val="right"/>
      <w:pPr>
        <w:ind w:left="2520" w:hanging="180"/>
        <w:tabs>
          <w:tab w:val="num" w:pos="0" w:leader="none"/>
        </w:tabs>
      </w:pPr>
    </w:lvl>
    <w:lvl w:ilvl="3">
      <w:start w:val="1"/>
      <w:numFmt w:val="decimal"/>
      <w:isLgl/>
      <w:suff w:val="tab"/>
      <w:lvlText w:val="%4."/>
      <w:lvlJc w:val="left"/>
      <w:pPr>
        <w:ind w:left="3240" w:hanging="360"/>
        <w:tabs>
          <w:tab w:val="num" w:pos="0" w:leader="none"/>
        </w:tabs>
      </w:pPr>
    </w:lvl>
    <w:lvl w:ilvl="4">
      <w:start w:val="1"/>
      <w:numFmt w:val="lowerLetter"/>
      <w:isLgl/>
      <w:suff w:val="tab"/>
      <w:lvlText w:val="%5."/>
      <w:lvlJc w:val="left"/>
      <w:pPr>
        <w:ind w:left="3960" w:hanging="360"/>
        <w:tabs>
          <w:tab w:val="num" w:pos="0" w:leader="none"/>
        </w:tabs>
      </w:pPr>
    </w:lvl>
    <w:lvl w:ilvl="5">
      <w:start w:val="1"/>
      <w:numFmt w:val="lowerRoman"/>
      <w:isLgl/>
      <w:suff w:val="tab"/>
      <w:lvlText w:val="%6."/>
      <w:lvlJc w:val="right"/>
      <w:pPr>
        <w:ind w:left="4680" w:hanging="180"/>
        <w:tabs>
          <w:tab w:val="num" w:pos="0" w:leader="none"/>
        </w:tabs>
      </w:pPr>
    </w:lvl>
    <w:lvl w:ilvl="6">
      <w:start w:val="1"/>
      <w:numFmt w:val="decimal"/>
      <w:isLgl/>
      <w:suff w:val="tab"/>
      <w:lvlText w:val="%7."/>
      <w:lvlJc w:val="left"/>
      <w:pPr>
        <w:ind w:left="5400" w:hanging="360"/>
        <w:tabs>
          <w:tab w:val="num" w:pos="0" w:leader="none"/>
        </w:tabs>
      </w:pPr>
    </w:lvl>
    <w:lvl w:ilvl="7">
      <w:start w:val="1"/>
      <w:numFmt w:val="lowerLetter"/>
      <w:isLgl/>
      <w:suff w:val="tab"/>
      <w:lvlText w:val="%8."/>
      <w:lvlJc w:val="left"/>
      <w:pPr>
        <w:ind w:left="6120" w:hanging="360"/>
        <w:tabs>
          <w:tab w:val="num" w:pos="0" w:leader="none"/>
        </w:tabs>
      </w:pPr>
    </w:lvl>
    <w:lvl w:ilvl="8">
      <w:start w:val="1"/>
      <w:numFmt w:val="lowerRoman"/>
      <w:isLgl/>
      <w:suff w:val="tab"/>
      <w:lvlText w:val="%9."/>
      <w:lvlJc w:val="right"/>
      <w:pPr>
        <w:ind w:left="6840" w:hanging="180"/>
        <w:tabs>
          <w:tab w:val="num" w:pos="0" w:leader="none"/>
        </w:tabs>
      </w:pPr>
    </w:lvl>
  </w:abstractNum>
  <w:abstractNum w:abstractNumId="2">
    <w:multiLevelType w:val="hybridMultilevel"/>
    <w:lvl w:ilvl="0">
      <w:start w:val="1"/>
      <w:numFmt w:val="bullet"/>
      <w:isLgl/>
      <w:suff w:val="tab"/>
      <w:lvlText w:val="-"/>
      <w:lvlJc w:val="left"/>
      <w:pPr>
        <w:ind w:left="432" w:hanging="432"/>
        <w:tabs>
          <w:tab w:val="num" w:pos="432" w:leader="none"/>
        </w:tabs>
      </w:pPr>
      <w:rPr>
        <w:rFonts w:hint="default" w:ascii="Arial (WT)" w:hAnsi="Arial (WT)" w:cs="Arial (WT)"/>
        <w:sz w:val="24"/>
        <w:szCs w:val="24"/>
      </w:rPr>
    </w:lvl>
    <w:lvl w:ilvl="1">
      <w:start w:val="1"/>
      <w:numFmt w:val="decimal"/>
      <w:isLgl/>
      <w:suff w:val="tab"/>
      <w:lvlText w:val="%1.%2."/>
      <w:lvlJc w:val="left"/>
      <w:pPr>
        <w:ind w:left="576" w:hanging="576"/>
        <w:tabs>
          <w:tab w:val="num" w:pos="576" w:leader="none"/>
        </w:tabs>
      </w:pPr>
      <w:rPr>
        <w:sz w:val="24"/>
        <w:szCs w:val="24"/>
      </w:rPr>
    </w:lvl>
    <w:lvl w:ilvl="2">
      <w:start w:val="1"/>
      <w:numFmt w:val="decimal"/>
      <w:isLgl/>
      <w:suff w:val="tab"/>
      <w:lvlText w:val="%1.%2.%3."/>
      <w:lvlJc w:val="left"/>
      <w:pPr>
        <w:ind w:left="284" w:firstLine="0"/>
        <w:tabs>
          <w:tab w:val="num" w:pos="454" w:leader="none"/>
        </w:tabs>
      </w:pPr>
      <w:rPr>
        <w:rFonts w:ascii="Times New Roman" w:hAnsi="Times New Roman" w:cs="Times New Roman"/>
        <w:b w:val="0"/>
        <w:bCs w:val="0"/>
        <w:i w:val="0"/>
        <w:iCs w:val="0"/>
        <w:sz w:val="24"/>
        <w:szCs w:val="24"/>
      </w:rPr>
    </w:lvl>
    <w:lvl w:ilvl="3">
      <w:start w:val="1"/>
      <w:numFmt w:val="decimal"/>
      <w:isLgl/>
      <w:suff w:val="tab"/>
      <w:lvlText w:val="%1.%2.%3.%4."/>
      <w:lvlJc w:val="left"/>
      <w:pPr>
        <w:ind w:left="1290" w:hanging="864"/>
        <w:tabs>
          <w:tab w:val="num" w:pos="1290" w:leader="none"/>
        </w:tabs>
      </w:pPr>
      <w:rPr>
        <w:rFonts w:ascii="Times New Roman" w:hAnsi="Times New Roman" w:cs="Times New Roman"/>
        <w:sz w:val="24"/>
        <w:szCs w:val="24"/>
      </w:rPr>
    </w:lvl>
    <w:lvl w:ilvl="4">
      <w:start w:val="1"/>
      <w:numFmt w:val="russianLower"/>
      <w:isLgl/>
      <w:suff w:val="tab"/>
      <w:lvlText w:val="%5)"/>
      <w:lvlJc w:val="left"/>
      <w:pPr>
        <w:ind w:left="928" w:hanging="360"/>
        <w:tabs>
          <w:tab w:val="num" w:pos="928" w:leader="none"/>
        </w:tabs>
      </w:pPr>
      <w:rPr>
        <w:rFonts w:ascii="Times New Roman" w:hAnsi="Times New Roman" w:cs="Times New Roman"/>
        <w:b w:val="0"/>
        <w:i w:val="0"/>
        <w:sz w:val="24"/>
        <w:szCs w:val="24"/>
      </w:rPr>
    </w:lvl>
    <w:lvl w:ilvl="5">
      <w:start w:val="1"/>
      <w:numFmt w:val="decimal"/>
      <w:isLgl/>
      <w:suff w:val="tab"/>
      <w:lvlText w:val="%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3">
    <w:multiLevelType w:val="hybridMultilevel"/>
    <w:lvl w:ilvl="0">
      <w:start w:val="1"/>
      <w:numFmt w:val="decimal"/>
      <w:isLgl/>
      <w:suff w:val="tab"/>
      <w:lvlText w:val="%1."/>
      <w:lvlJc w:val="left"/>
      <w:pPr>
        <w:ind w:left="720" w:hanging="360"/>
        <w:tabs>
          <w:tab w:val="num" w:pos="720" w:leader="none"/>
        </w:tabs>
      </w:pPr>
      <w:rPr>
        <w:rFonts w:ascii="Times New Roman" w:hAnsi="Times New Roman" w:eastAsia="Times New Roman" w:cs="Times New Roman"/>
      </w:rPr>
    </w:lvl>
    <w:lvl w:ilvl="1">
      <w:start w:val="1"/>
      <w:numFmt w:val="lowerLetter"/>
      <w:isLgl/>
      <w:suff w:val="tab"/>
      <w:lvlText w:val="%2."/>
      <w:lvlJc w:val="left"/>
      <w:pPr>
        <w:ind w:left="1440" w:hanging="360"/>
        <w:tabs>
          <w:tab w:val="num" w:pos="1440" w:leader="none"/>
        </w:tabs>
      </w:pPr>
    </w:lvl>
    <w:lvl w:ilvl="2">
      <w:start w:val="1"/>
      <w:numFmt w:val="lowerRoman"/>
      <w:isLgl/>
      <w:suff w:val="tab"/>
      <w:lvlText w:val="%3."/>
      <w:lvlJc w:val="right"/>
      <w:pPr>
        <w:ind w:left="2160" w:hanging="180"/>
        <w:tabs>
          <w:tab w:val="num" w:pos="2160" w:leader="none"/>
        </w:tabs>
      </w:pPr>
    </w:lvl>
    <w:lvl w:ilvl="3">
      <w:start w:val="1"/>
      <w:numFmt w:val="decimal"/>
      <w:isLgl/>
      <w:suff w:val="tab"/>
      <w:lvlText w:val="%4."/>
      <w:lvlJc w:val="left"/>
      <w:pPr>
        <w:ind w:left="2880" w:hanging="360"/>
        <w:tabs>
          <w:tab w:val="num" w:pos="2880" w:leader="none"/>
        </w:tabs>
      </w:pPr>
    </w:lvl>
    <w:lvl w:ilvl="4">
      <w:start w:val="1"/>
      <w:numFmt w:val="lowerLetter"/>
      <w:isLgl/>
      <w:suff w:val="tab"/>
      <w:lvlText w:val="%5."/>
      <w:lvlJc w:val="left"/>
      <w:pPr>
        <w:ind w:left="3600" w:hanging="360"/>
        <w:tabs>
          <w:tab w:val="num" w:pos="3600" w:leader="none"/>
        </w:tabs>
      </w:pPr>
    </w:lvl>
    <w:lvl w:ilvl="5">
      <w:start w:val="1"/>
      <w:numFmt w:val="lowerRoman"/>
      <w:isLgl/>
      <w:suff w:val="tab"/>
      <w:lvlText w:val="%6."/>
      <w:lvlJc w:val="right"/>
      <w:pPr>
        <w:ind w:left="4320" w:hanging="180"/>
        <w:tabs>
          <w:tab w:val="num" w:pos="4320" w:leader="none"/>
        </w:tabs>
      </w:pPr>
    </w:lvl>
    <w:lvl w:ilvl="6">
      <w:start w:val="1"/>
      <w:numFmt w:val="decimal"/>
      <w:isLgl/>
      <w:suff w:val="tab"/>
      <w:lvlText w:val="%7."/>
      <w:lvlJc w:val="left"/>
      <w:pPr>
        <w:ind w:left="5040" w:hanging="360"/>
        <w:tabs>
          <w:tab w:val="num" w:pos="5040" w:leader="none"/>
        </w:tabs>
      </w:pPr>
    </w:lvl>
    <w:lvl w:ilvl="7">
      <w:start w:val="1"/>
      <w:numFmt w:val="lowerLetter"/>
      <w:isLgl/>
      <w:suff w:val="tab"/>
      <w:lvlText w:val="%8."/>
      <w:lvlJc w:val="left"/>
      <w:pPr>
        <w:ind w:left="5760" w:hanging="360"/>
        <w:tabs>
          <w:tab w:val="num" w:pos="5760" w:leader="none"/>
        </w:tabs>
      </w:pPr>
    </w:lvl>
    <w:lvl w:ilvl="8">
      <w:start w:val="1"/>
      <w:numFmt w:val="lowerRoman"/>
      <w:isLgl/>
      <w:suff w:val="tab"/>
      <w:lvlText w:val="%9."/>
      <w:lvlJc w:val="right"/>
      <w:pPr>
        <w:ind w:left="6480" w:hanging="180"/>
        <w:tabs>
          <w:tab w:val="num" w:pos="6480" w:leader="none"/>
        </w:tabs>
      </w:pPr>
    </w:lvl>
  </w:abstractNum>
  <w:abstractNum w:abstractNumId="4">
    <w:multiLevelType w:val="hybridMultilevel"/>
    <w:lvl w:ilvl="0">
      <w:start w:val="1"/>
      <w:numFmt w:val="decimal"/>
      <w:pStyle w:val="1365"/>
      <w:isLgl/>
      <w:suff w:val="tab"/>
      <w:lvlText w:val="%1."/>
      <w:lvlJc w:val="center"/>
      <w:pPr>
        <w:ind w:left="0" w:firstLine="0"/>
        <w:tabs>
          <w:tab w:val="num" w:pos="2977" w:leader="none"/>
        </w:tabs>
      </w:pPr>
      <w:rPr>
        <w:rFonts w:cs="Times New Roman"/>
        <w:bCs w:val="0"/>
        <w:iCs w:val="0"/>
        <w:caps w:val="0"/>
        <w:smallCaps w:val="0"/>
        <w:strike w:val="0"/>
        <w:vanish w:val="0"/>
        <w:color w:val="000000"/>
        <w:spacing w:val="0"/>
        <w:position w:val="0"/>
        <w:sz w:val="20"/>
        <w:u w:val="none"/>
        <w:vertAlign w:val="baseline"/>
      </w:rPr>
    </w:lvl>
    <w:lvl w:ilvl="1">
      <w:start w:val="1"/>
      <w:numFmt w:val="decimal"/>
      <w:pStyle w:val="1367"/>
      <w:isLgl/>
      <w:suff w:val="tab"/>
      <w:lvlText w:val="%1.%2"/>
      <w:lvlJc w:val="left"/>
      <w:pPr>
        <w:ind w:left="0" w:firstLine="567"/>
        <w:tabs>
          <w:tab w:val="num" w:pos="4680" w:leader="none"/>
        </w:tabs>
      </w:pPr>
      <w:rPr>
        <w:rFonts w:cs="Times New Roman"/>
        <w:bCs/>
        <w:iCs w:val="0"/>
        <w:caps w:val="0"/>
        <w:smallCaps w:val="0"/>
        <w:strike w:val="0"/>
        <w:vanish w:val="0"/>
        <w:color w:val="auto"/>
        <w:spacing w:val="0"/>
        <w:position w:val="0"/>
        <w:sz w:val="28"/>
        <w:szCs w:val="28"/>
        <w:u w:val="none"/>
        <w:vertAlign w:val="baseline"/>
      </w:rPr>
    </w:lvl>
    <w:lvl w:ilvl="2">
      <w:start w:val="1"/>
      <w:numFmt w:val="decimal"/>
      <w:pStyle w:val="1366"/>
      <w:isLgl/>
      <w:suff w:val="tab"/>
      <w:lvlText w:val="%1.%2.%3"/>
      <w:lvlJc w:val="left"/>
      <w:pPr>
        <w:ind w:left="0" w:firstLine="567"/>
        <w:tabs>
          <w:tab w:val="num" w:pos="4399" w:leader="none"/>
        </w:tabs>
      </w:pPr>
      <w:rPr>
        <w:rFonts w:cs="Times New Roman"/>
        <w:b w:val="0"/>
        <w:bCs w:val="0"/>
        <w:i w:val="0"/>
        <w:iCs w:val="0"/>
        <w:color w:val="auto"/>
      </w:rPr>
    </w:lvl>
    <w:lvl w:ilvl="3">
      <w:start w:val="1"/>
      <w:numFmt w:val="decimal"/>
      <w:isLgl/>
      <w:suff w:val="tab"/>
      <w:lvlText w:val="%1.%2.%3.%4"/>
      <w:lvlJc w:val="left"/>
      <w:pPr>
        <w:ind w:left="0" w:firstLine="567"/>
        <w:tabs>
          <w:tab w:val="num" w:pos="1985" w:leader="none"/>
        </w:tabs>
      </w:pPr>
      <w:rPr>
        <w:rFonts w:cs="Times New Roman"/>
        <w:b w:val="0"/>
        <w:bCs w:val="0"/>
        <w:i w:val="0"/>
        <w:iCs w:val="0"/>
        <w:caps w:val="0"/>
        <w:smallCaps w:val="0"/>
        <w:strike w:val="0"/>
        <w:vanish w:val="0"/>
        <w:color w:val="auto"/>
        <w:spacing w:val="0"/>
        <w:position w:val="0"/>
        <w:sz w:val="20"/>
        <w:u w:val="none"/>
        <w:vertAlign w:val="baseline"/>
      </w:rPr>
    </w:lvl>
    <w:lvl w:ilvl="4">
      <w:start w:val="1"/>
      <w:numFmt w:val="russianLower"/>
      <w:isLgl/>
      <w:suff w:val="tab"/>
      <w:lvlText w:val="%5)"/>
      <w:lvlJc w:val="left"/>
      <w:pPr>
        <w:ind w:left="0" w:firstLine="567"/>
        <w:tabs>
          <w:tab w:val="num" w:pos="1703" w:leader="none"/>
        </w:tabs>
      </w:pPr>
      <w:rPr>
        <w:rFonts w:cs="Times New Roman"/>
        <w:b w:val="0"/>
        <w:bCs w:val="0"/>
        <w:i w:val="0"/>
        <w:iCs w:val="0"/>
      </w:rPr>
    </w:lvl>
    <w:lvl w:ilvl="5">
      <w:start w:val="1"/>
      <w:numFmt w:val="lowerLetter"/>
      <w:isLgl/>
      <w:suff w:val="tab"/>
      <w:lvlText w:val="%6)"/>
      <w:lvlJc w:val="left"/>
      <w:pPr>
        <w:ind w:left="2551" w:hanging="567"/>
        <w:tabs>
          <w:tab w:val="num" w:pos="2551" w:leader="none"/>
        </w:tabs>
      </w:pPr>
      <w:rPr>
        <w:rFonts w:cs="Times New Roman"/>
      </w:rPr>
    </w:lvl>
    <w:lvl w:ilvl="6">
      <w:start w:val="1"/>
      <w:numFmt w:val="lowerRoman"/>
      <w:isLgl/>
      <w:suff w:val="tab"/>
      <w:lvlText w:val="%7)"/>
      <w:lvlJc w:val="left"/>
      <w:pPr>
        <w:ind w:left="2268" w:hanging="567"/>
        <w:tabs>
          <w:tab w:val="num" w:pos="2268" w:leader="none"/>
        </w:tabs>
      </w:pPr>
      <w:rPr>
        <w:rFonts w:cs="Times New Roman"/>
      </w:rPr>
    </w:lvl>
    <w:lvl w:ilvl="7">
      <w:start w:val="1"/>
      <w:numFmt w:val="decimal"/>
      <w:isLgl/>
      <w:suff w:val="tab"/>
      <w:lvlText w:val="%5.%6.%7.%8)"/>
      <w:lvlJc w:val="left"/>
      <w:pPr>
        <w:ind w:left="1448" w:hanging="567"/>
        <w:tabs>
          <w:tab w:val="num" w:pos="1448" w:leader="none"/>
        </w:tabs>
      </w:pPr>
      <w:rPr>
        <w:rFonts w:cs="Times New Roman"/>
      </w:rPr>
    </w:lvl>
    <w:lvl w:ilvl="8">
      <w:start w:val="1"/>
      <w:numFmt w:val="decimal"/>
      <w:isLgl/>
      <w:suff w:val="tab"/>
      <w:lvlText w:val="%1.%2.%3.%4.%5.%6.%7.%8.%9."/>
      <w:lvlJc w:val="left"/>
      <w:pPr>
        <w:ind w:left="2366" w:hanging="1440"/>
        <w:tabs>
          <w:tab w:val="num" w:pos="4166" w:leader="none"/>
        </w:tabs>
      </w:pPr>
      <w:rPr>
        <w:rFonts w:cs="Times New Roman"/>
      </w:rPr>
    </w:lvl>
  </w:abstractNum>
  <w:abstractNum w:abstractNumId="5">
    <w:multiLevelType w:val="hybridMultilevel"/>
    <w:lvl w:ilvl="0">
      <w:start w:val="1"/>
      <w:numFmt w:val="russianLower"/>
      <w:isLgl w:val="false"/>
      <w:suff w:val="tab"/>
      <w:lvlText w:val="%1)"/>
      <w:lvlJc w:val="left"/>
      <w:pPr>
        <w:ind w:left="862" w:hanging="360"/>
        <w:tabs>
          <w:tab w:val="num" w:pos="0" w:leader="none"/>
        </w:tabs>
      </w:pPr>
      <w:rPr>
        <w:rFonts w:ascii="Times New Roman" w:hAnsi="Times New Roman" w:cs="Times New Roman"/>
        <w:b w:val="0"/>
      </w:rPr>
    </w:lvl>
    <w:lvl w:ilvl="1">
      <w:start w:val="1"/>
      <w:numFmt w:val="lowerLetter"/>
      <w:isLgl/>
      <w:suff w:val="tab"/>
      <w:lvlText w:val="%2."/>
      <w:lvlJc w:val="left"/>
      <w:pPr>
        <w:ind w:left="1582" w:hanging="360"/>
        <w:tabs>
          <w:tab w:val="num" w:pos="0" w:leader="none"/>
        </w:tabs>
      </w:pPr>
    </w:lvl>
    <w:lvl w:ilvl="2">
      <w:start w:val="1"/>
      <w:numFmt w:val="lowerRoman"/>
      <w:isLgl/>
      <w:suff w:val="tab"/>
      <w:lvlText w:val="%3."/>
      <w:lvlJc w:val="right"/>
      <w:pPr>
        <w:ind w:left="2302" w:hanging="180"/>
        <w:tabs>
          <w:tab w:val="num" w:pos="0" w:leader="none"/>
        </w:tabs>
      </w:pPr>
    </w:lvl>
    <w:lvl w:ilvl="3">
      <w:start w:val="1"/>
      <w:numFmt w:val="decimal"/>
      <w:isLgl/>
      <w:suff w:val="tab"/>
      <w:lvlText w:val="%4."/>
      <w:lvlJc w:val="left"/>
      <w:pPr>
        <w:ind w:left="3022" w:hanging="360"/>
        <w:tabs>
          <w:tab w:val="num" w:pos="0" w:leader="none"/>
        </w:tabs>
      </w:pPr>
    </w:lvl>
    <w:lvl w:ilvl="4">
      <w:start w:val="1"/>
      <w:numFmt w:val="lowerLetter"/>
      <w:isLgl/>
      <w:suff w:val="tab"/>
      <w:lvlText w:val="%5."/>
      <w:lvlJc w:val="left"/>
      <w:pPr>
        <w:ind w:left="3742" w:hanging="360"/>
        <w:tabs>
          <w:tab w:val="num" w:pos="0" w:leader="none"/>
        </w:tabs>
      </w:pPr>
    </w:lvl>
    <w:lvl w:ilvl="5">
      <w:start w:val="1"/>
      <w:numFmt w:val="lowerRoman"/>
      <w:isLgl/>
      <w:suff w:val="tab"/>
      <w:lvlText w:val="%6."/>
      <w:lvlJc w:val="right"/>
      <w:pPr>
        <w:ind w:left="4462" w:hanging="180"/>
        <w:tabs>
          <w:tab w:val="num" w:pos="0" w:leader="none"/>
        </w:tabs>
      </w:pPr>
    </w:lvl>
    <w:lvl w:ilvl="6">
      <w:start w:val="1"/>
      <w:numFmt w:val="decimal"/>
      <w:isLgl/>
      <w:suff w:val="tab"/>
      <w:lvlText w:val="%7."/>
      <w:lvlJc w:val="left"/>
      <w:pPr>
        <w:ind w:left="5182" w:hanging="360"/>
        <w:tabs>
          <w:tab w:val="num" w:pos="0" w:leader="none"/>
        </w:tabs>
      </w:pPr>
    </w:lvl>
    <w:lvl w:ilvl="7">
      <w:start w:val="1"/>
      <w:numFmt w:val="lowerLetter"/>
      <w:isLgl/>
      <w:suff w:val="tab"/>
      <w:lvlText w:val="%8."/>
      <w:lvlJc w:val="left"/>
      <w:pPr>
        <w:ind w:left="5902" w:hanging="360"/>
        <w:tabs>
          <w:tab w:val="num" w:pos="0" w:leader="none"/>
        </w:tabs>
      </w:pPr>
    </w:lvl>
    <w:lvl w:ilvl="8">
      <w:start w:val="1"/>
      <w:numFmt w:val="lowerRoman"/>
      <w:isLgl/>
      <w:suff w:val="tab"/>
      <w:lvlText w:val="%9."/>
      <w:lvlJc w:val="right"/>
      <w:pPr>
        <w:ind w:left="6622" w:hanging="180"/>
        <w:tabs>
          <w:tab w:val="num" w:pos="0" w:leader="none"/>
        </w:tabs>
      </w:pPr>
    </w:lvl>
  </w:abstractNum>
  <w:abstractNum w:abstractNumId="6">
    <w:multiLevelType w:val="hybridMultilevel"/>
    <w:lvl w:ilvl="0">
      <w:start w:val="1"/>
      <w:numFmt w:val="decimal"/>
      <w:isLgl/>
      <w:suff w:val="tab"/>
      <w:lvlText w:val="%1."/>
      <w:lvlJc w:val="left"/>
      <w:pPr>
        <w:ind w:left="720" w:hanging="360"/>
        <w:tabs>
          <w:tab w:val="num" w:pos="0" w:leader="none"/>
        </w:tabs>
      </w:pPr>
    </w:lvl>
    <w:lvl w:ilvl="1">
      <w:start w:val="1"/>
      <w:numFmt w:val="lowerLetter"/>
      <w:isLgl/>
      <w:suff w:val="tab"/>
      <w:lvlText w:val="%2."/>
      <w:lvlJc w:val="left"/>
      <w:pPr>
        <w:ind w:left="1440" w:hanging="360"/>
        <w:tabs>
          <w:tab w:val="num" w:pos="0" w:leader="none"/>
        </w:tabs>
      </w:pPr>
    </w:lvl>
    <w:lvl w:ilvl="2">
      <w:start w:val="1"/>
      <w:numFmt w:val="lowerRoman"/>
      <w:isLgl/>
      <w:suff w:val="tab"/>
      <w:lvlText w:val="%3."/>
      <w:lvlJc w:val="right"/>
      <w:pPr>
        <w:ind w:left="2160" w:hanging="180"/>
        <w:tabs>
          <w:tab w:val="num" w:pos="0" w:leader="none"/>
        </w:tabs>
      </w:pPr>
    </w:lvl>
    <w:lvl w:ilvl="3">
      <w:start w:val="1"/>
      <w:numFmt w:val="decimal"/>
      <w:isLgl/>
      <w:suff w:val="tab"/>
      <w:lvlText w:val="%4."/>
      <w:lvlJc w:val="left"/>
      <w:pPr>
        <w:ind w:left="2880" w:hanging="360"/>
        <w:tabs>
          <w:tab w:val="num" w:pos="0" w:leader="none"/>
        </w:tabs>
      </w:pPr>
    </w:lvl>
    <w:lvl w:ilvl="4">
      <w:start w:val="1"/>
      <w:numFmt w:val="lowerLetter"/>
      <w:isLgl/>
      <w:suff w:val="tab"/>
      <w:lvlText w:val="%5."/>
      <w:lvlJc w:val="left"/>
      <w:pPr>
        <w:ind w:left="3600" w:hanging="360"/>
        <w:tabs>
          <w:tab w:val="num" w:pos="0" w:leader="none"/>
        </w:tabs>
      </w:pPr>
    </w:lvl>
    <w:lvl w:ilvl="5">
      <w:start w:val="1"/>
      <w:numFmt w:val="lowerRoman"/>
      <w:isLgl/>
      <w:suff w:val="tab"/>
      <w:lvlText w:val="%6."/>
      <w:lvlJc w:val="right"/>
      <w:pPr>
        <w:ind w:left="4320" w:hanging="180"/>
        <w:tabs>
          <w:tab w:val="num" w:pos="0" w:leader="none"/>
        </w:tabs>
      </w:pPr>
    </w:lvl>
    <w:lvl w:ilvl="6">
      <w:start w:val="1"/>
      <w:numFmt w:val="decimal"/>
      <w:isLgl/>
      <w:suff w:val="tab"/>
      <w:lvlText w:val="%7."/>
      <w:lvlJc w:val="left"/>
      <w:pPr>
        <w:ind w:left="5040" w:hanging="360"/>
        <w:tabs>
          <w:tab w:val="num" w:pos="0" w:leader="none"/>
        </w:tabs>
      </w:pPr>
    </w:lvl>
    <w:lvl w:ilvl="7">
      <w:start w:val="1"/>
      <w:numFmt w:val="lowerLetter"/>
      <w:isLgl/>
      <w:suff w:val="tab"/>
      <w:lvlText w:val="%8."/>
      <w:lvlJc w:val="left"/>
      <w:pPr>
        <w:ind w:left="5760" w:hanging="360"/>
        <w:tabs>
          <w:tab w:val="num" w:pos="0" w:leader="none"/>
        </w:tabs>
      </w:pPr>
    </w:lvl>
    <w:lvl w:ilvl="8">
      <w:start w:val="1"/>
      <w:numFmt w:val="lowerRoman"/>
      <w:isLgl/>
      <w:suff w:val="tab"/>
      <w:lvlText w:val="%9."/>
      <w:lvlJc w:val="right"/>
      <w:pPr>
        <w:ind w:left="6480" w:hanging="180"/>
        <w:tabs>
          <w:tab w:val="num" w:pos="0" w:leader="none"/>
        </w:tabs>
      </w:pPr>
    </w:lvl>
  </w:abstractNum>
  <w:abstractNum w:abstractNumId="7">
    <w:multiLevelType w:val="hybridMultilevel"/>
    <w:lvl w:ilvl="0">
      <w:start w:val="1"/>
      <w:numFmt w:val="decimal"/>
      <w:isLgl/>
      <w:suff w:val="tab"/>
      <w:lvlText w:val="%1."/>
      <w:lvlJc w:val="left"/>
      <w:pPr>
        <w:ind w:left="2486" w:hanging="360"/>
        <w:tabs>
          <w:tab w:val="num" w:pos="0" w:leader="none"/>
        </w:tabs>
      </w:pPr>
      <w:rPr>
        <w:sz w:val="20"/>
        <w:szCs w:val="20"/>
      </w:rPr>
    </w:lvl>
    <w:lvl w:ilvl="1">
      <w:start w:val="1"/>
      <w:numFmt w:val="lowerLetter"/>
      <w:isLgl/>
      <w:suff w:val="tab"/>
      <w:lvlText w:val="%2."/>
      <w:lvlJc w:val="left"/>
      <w:pPr>
        <w:ind w:left="1440" w:hanging="360"/>
        <w:tabs>
          <w:tab w:val="num" w:pos="0" w:leader="none"/>
        </w:tabs>
      </w:pPr>
    </w:lvl>
    <w:lvl w:ilvl="2">
      <w:start w:val="1"/>
      <w:numFmt w:val="lowerRoman"/>
      <w:isLgl/>
      <w:suff w:val="tab"/>
      <w:lvlText w:val="%3."/>
      <w:lvlJc w:val="right"/>
      <w:pPr>
        <w:ind w:left="2160" w:hanging="180"/>
        <w:tabs>
          <w:tab w:val="num" w:pos="0" w:leader="none"/>
        </w:tabs>
      </w:pPr>
    </w:lvl>
    <w:lvl w:ilvl="3">
      <w:start w:val="1"/>
      <w:numFmt w:val="decimal"/>
      <w:isLgl/>
      <w:suff w:val="tab"/>
      <w:lvlText w:val="%4."/>
      <w:lvlJc w:val="left"/>
      <w:pPr>
        <w:ind w:left="2880" w:hanging="360"/>
        <w:tabs>
          <w:tab w:val="num" w:pos="0" w:leader="none"/>
        </w:tabs>
      </w:pPr>
    </w:lvl>
    <w:lvl w:ilvl="4">
      <w:start w:val="1"/>
      <w:numFmt w:val="lowerLetter"/>
      <w:isLgl/>
      <w:suff w:val="tab"/>
      <w:lvlText w:val="%5."/>
      <w:lvlJc w:val="left"/>
      <w:pPr>
        <w:ind w:left="3600" w:hanging="360"/>
        <w:tabs>
          <w:tab w:val="num" w:pos="0" w:leader="none"/>
        </w:tabs>
      </w:pPr>
    </w:lvl>
    <w:lvl w:ilvl="5">
      <w:start w:val="1"/>
      <w:numFmt w:val="lowerRoman"/>
      <w:isLgl/>
      <w:suff w:val="tab"/>
      <w:lvlText w:val="%6."/>
      <w:lvlJc w:val="right"/>
      <w:pPr>
        <w:ind w:left="4320" w:hanging="180"/>
        <w:tabs>
          <w:tab w:val="num" w:pos="0" w:leader="none"/>
        </w:tabs>
      </w:pPr>
    </w:lvl>
    <w:lvl w:ilvl="6">
      <w:start w:val="1"/>
      <w:numFmt w:val="decimal"/>
      <w:isLgl/>
      <w:suff w:val="tab"/>
      <w:lvlText w:val="%7."/>
      <w:lvlJc w:val="left"/>
      <w:pPr>
        <w:ind w:left="5040" w:hanging="360"/>
        <w:tabs>
          <w:tab w:val="num" w:pos="0" w:leader="none"/>
        </w:tabs>
      </w:pPr>
    </w:lvl>
    <w:lvl w:ilvl="7">
      <w:start w:val="1"/>
      <w:numFmt w:val="lowerLetter"/>
      <w:isLgl/>
      <w:suff w:val="tab"/>
      <w:lvlText w:val="%8."/>
      <w:lvlJc w:val="left"/>
      <w:pPr>
        <w:ind w:left="5760" w:hanging="360"/>
        <w:tabs>
          <w:tab w:val="num" w:pos="0" w:leader="none"/>
        </w:tabs>
      </w:pPr>
    </w:lvl>
    <w:lvl w:ilvl="8">
      <w:start w:val="1"/>
      <w:numFmt w:val="lowerRoman"/>
      <w:isLgl/>
      <w:suff w:val="tab"/>
      <w:lvlText w:val="%9."/>
      <w:lvlJc w:val="right"/>
      <w:pPr>
        <w:ind w:left="6480" w:hanging="180"/>
        <w:tabs>
          <w:tab w:val="num" w:pos="0" w:leader="none"/>
        </w:tabs>
      </w:pPr>
    </w:lvl>
  </w:abstractNum>
  <w:abstractNum w:abstractNumId="8">
    <w:multiLevelType w:val="hybridMultilevel"/>
    <w:lvl w:ilvl="0">
      <w:start w:val="1"/>
      <w:numFmt w:val="russianLower"/>
      <w:isLgl w:val="false"/>
      <w:suff w:val="tab"/>
      <w:lvlText w:val="%1)"/>
      <w:lvlJc w:val="left"/>
      <w:pPr>
        <w:ind w:left="720" w:hanging="360"/>
        <w:tabs>
          <w:tab w:val="num" w:pos="0" w:leader="none"/>
        </w:tabs>
      </w:pPr>
      <w:rPr>
        <w:rFonts w:cs="Times New Roman"/>
      </w:rPr>
    </w:lvl>
    <w:lvl w:ilvl="1">
      <w:start w:val="1"/>
      <w:numFmt w:val="bullet"/>
      <w:isLgl/>
      <w:suff w:val="tab"/>
      <w:lvlText w:val=""/>
      <w:lvlJc w:val="left"/>
      <w:pPr>
        <w:ind w:left="1440" w:hanging="360"/>
        <w:tabs>
          <w:tab w:val="num" w:pos="0" w:leader="none"/>
        </w:tabs>
      </w:pPr>
      <w:rPr>
        <w:rFonts w:hint="default" w:ascii="Symbol" w:hAnsi="Symbol" w:cs="Symbol"/>
      </w:rPr>
    </w:lvl>
    <w:lvl w:ilvl="2">
      <w:start w:val="1"/>
      <w:numFmt w:val="lowerRoman"/>
      <w:isLgl/>
      <w:suff w:val="tab"/>
      <w:lvlText w:val="%3."/>
      <w:lvlJc w:val="right"/>
      <w:pPr>
        <w:ind w:left="2160" w:hanging="180"/>
        <w:tabs>
          <w:tab w:val="num" w:pos="0" w:leader="none"/>
        </w:tabs>
      </w:pPr>
    </w:lvl>
    <w:lvl w:ilvl="3">
      <w:start w:val="1"/>
      <w:numFmt w:val="decimal"/>
      <w:isLgl/>
      <w:suff w:val="tab"/>
      <w:lvlText w:val="%4."/>
      <w:lvlJc w:val="left"/>
      <w:pPr>
        <w:ind w:left="2880" w:hanging="360"/>
        <w:tabs>
          <w:tab w:val="num" w:pos="0" w:leader="none"/>
        </w:tabs>
      </w:pPr>
    </w:lvl>
    <w:lvl w:ilvl="4">
      <w:start w:val="1"/>
      <w:numFmt w:val="lowerLetter"/>
      <w:isLgl/>
      <w:suff w:val="tab"/>
      <w:lvlText w:val="%5."/>
      <w:lvlJc w:val="left"/>
      <w:pPr>
        <w:ind w:left="3600" w:hanging="360"/>
        <w:tabs>
          <w:tab w:val="num" w:pos="0" w:leader="none"/>
        </w:tabs>
      </w:pPr>
    </w:lvl>
    <w:lvl w:ilvl="5">
      <w:start w:val="1"/>
      <w:numFmt w:val="lowerRoman"/>
      <w:isLgl/>
      <w:suff w:val="tab"/>
      <w:lvlText w:val="%6."/>
      <w:lvlJc w:val="right"/>
      <w:pPr>
        <w:ind w:left="4320" w:hanging="180"/>
        <w:tabs>
          <w:tab w:val="num" w:pos="0" w:leader="none"/>
        </w:tabs>
      </w:pPr>
    </w:lvl>
    <w:lvl w:ilvl="6">
      <w:start w:val="1"/>
      <w:numFmt w:val="decimal"/>
      <w:isLgl/>
      <w:suff w:val="tab"/>
      <w:lvlText w:val="%7."/>
      <w:lvlJc w:val="left"/>
      <w:pPr>
        <w:ind w:left="5040" w:hanging="360"/>
        <w:tabs>
          <w:tab w:val="num" w:pos="0" w:leader="none"/>
        </w:tabs>
      </w:pPr>
    </w:lvl>
    <w:lvl w:ilvl="7">
      <w:start w:val="1"/>
      <w:numFmt w:val="lowerLetter"/>
      <w:isLgl/>
      <w:suff w:val="tab"/>
      <w:lvlText w:val="%8."/>
      <w:lvlJc w:val="left"/>
      <w:pPr>
        <w:ind w:left="5760" w:hanging="360"/>
        <w:tabs>
          <w:tab w:val="num" w:pos="0" w:leader="none"/>
        </w:tabs>
      </w:pPr>
    </w:lvl>
    <w:lvl w:ilvl="8">
      <w:start w:val="1"/>
      <w:numFmt w:val="lowerRoman"/>
      <w:isLgl/>
      <w:suff w:val="tab"/>
      <w:lvlText w:val="%9."/>
      <w:lvlJc w:val="right"/>
      <w:pPr>
        <w:ind w:left="6480" w:hanging="180"/>
        <w:tabs>
          <w:tab w:val="num" w:pos="0" w:leader="none"/>
        </w:tabs>
      </w:pPr>
    </w:lvl>
  </w:abstractNum>
  <w:abstractNum w:abstractNumId="9">
    <w:multiLevelType w:val="hybridMultilevel"/>
    <w:lvl w:ilvl="0">
      <w:start w:val="2"/>
      <w:numFmt w:val="decimal"/>
      <w:isLgl/>
      <w:suff w:val="tab"/>
      <w:lvlText w:val="%1."/>
      <w:lvlJc w:val="left"/>
      <w:pPr>
        <w:ind w:left="360" w:hanging="360"/>
        <w:tabs>
          <w:tab w:val="num" w:pos="0" w:leader="none"/>
        </w:tabs>
      </w:pPr>
    </w:lvl>
    <w:lvl w:ilvl="1">
      <w:start w:val="1"/>
      <w:numFmt w:val="decimal"/>
      <w:isLgl/>
      <w:suff w:val="tab"/>
      <w:lvlText w:val="%1.%2."/>
      <w:lvlJc w:val="left"/>
      <w:pPr>
        <w:ind w:left="1066" w:hanging="360"/>
        <w:tabs>
          <w:tab w:val="num" w:pos="0" w:leader="none"/>
        </w:tabs>
      </w:pPr>
    </w:lvl>
    <w:lvl w:ilvl="2">
      <w:start w:val="1"/>
      <w:numFmt w:val="decimal"/>
      <w:isLgl/>
      <w:suff w:val="tab"/>
      <w:lvlText w:val="%1.%2.%3."/>
      <w:lvlJc w:val="left"/>
      <w:pPr>
        <w:ind w:left="2132" w:hanging="720"/>
        <w:tabs>
          <w:tab w:val="num" w:pos="0" w:leader="none"/>
        </w:tabs>
      </w:pPr>
    </w:lvl>
    <w:lvl w:ilvl="3">
      <w:start w:val="1"/>
      <w:numFmt w:val="decimal"/>
      <w:isLgl/>
      <w:suff w:val="tab"/>
      <w:lvlText w:val="%1.%2.%3.%4."/>
      <w:lvlJc w:val="left"/>
      <w:pPr>
        <w:ind w:left="2838" w:hanging="720"/>
        <w:tabs>
          <w:tab w:val="num" w:pos="0" w:leader="none"/>
        </w:tabs>
      </w:pPr>
    </w:lvl>
    <w:lvl w:ilvl="4">
      <w:start w:val="1"/>
      <w:numFmt w:val="decimal"/>
      <w:isLgl/>
      <w:suff w:val="tab"/>
      <w:lvlText w:val="%1.%2.%3.%4.%5."/>
      <w:lvlJc w:val="left"/>
      <w:pPr>
        <w:ind w:left="3904" w:hanging="1080"/>
        <w:tabs>
          <w:tab w:val="num" w:pos="0" w:leader="none"/>
        </w:tabs>
      </w:pPr>
    </w:lvl>
    <w:lvl w:ilvl="5">
      <w:start w:val="1"/>
      <w:numFmt w:val="decimal"/>
      <w:isLgl/>
      <w:suff w:val="tab"/>
      <w:lvlText w:val="%1.%2.%3.%4.%5.%6."/>
      <w:lvlJc w:val="left"/>
      <w:pPr>
        <w:ind w:left="4610" w:hanging="1080"/>
        <w:tabs>
          <w:tab w:val="num" w:pos="0" w:leader="none"/>
        </w:tabs>
      </w:pPr>
    </w:lvl>
    <w:lvl w:ilvl="6">
      <w:start w:val="1"/>
      <w:numFmt w:val="decimal"/>
      <w:isLgl/>
      <w:suff w:val="tab"/>
      <w:lvlText w:val="%1.%2.%3.%4.%5.%6.%7."/>
      <w:lvlJc w:val="left"/>
      <w:pPr>
        <w:ind w:left="5316" w:hanging="1080"/>
        <w:tabs>
          <w:tab w:val="num" w:pos="0" w:leader="none"/>
        </w:tabs>
      </w:pPr>
    </w:lvl>
    <w:lvl w:ilvl="7">
      <w:start w:val="1"/>
      <w:numFmt w:val="decimal"/>
      <w:isLgl/>
      <w:suff w:val="tab"/>
      <w:lvlText w:val="%1.%2.%3.%4.%5.%6.%7.%8."/>
      <w:lvlJc w:val="left"/>
      <w:pPr>
        <w:ind w:left="6382" w:hanging="1440"/>
        <w:tabs>
          <w:tab w:val="num" w:pos="0" w:leader="none"/>
        </w:tabs>
      </w:pPr>
    </w:lvl>
    <w:lvl w:ilvl="8">
      <w:start w:val="1"/>
      <w:numFmt w:val="decimal"/>
      <w:isLgl/>
      <w:suff w:val="tab"/>
      <w:lvlText w:val="%1.%2.%3.%4.%5.%6.%7.%8.%9."/>
      <w:lvlJc w:val="left"/>
      <w:pPr>
        <w:ind w:left="7088" w:hanging="1440"/>
        <w:tabs>
          <w:tab w:val="num" w:pos="0" w:leader="none"/>
        </w:tabs>
      </w:pPr>
    </w:lvl>
  </w:abstractNum>
  <w:abstractNum w:abstractNumId="10">
    <w:multiLevelType w:val="hybridMultilevel"/>
    <w:lvl w:ilvl="0">
      <w:start w:val="1"/>
      <w:numFmt w:val="russianLower"/>
      <w:isLgl w:val="false"/>
      <w:suff w:val="tab"/>
      <w:lvlText w:val="%1)"/>
      <w:lvlJc w:val="left"/>
      <w:pPr>
        <w:ind w:left="432" w:hanging="432"/>
        <w:tabs>
          <w:tab w:val="num" w:pos="432" w:leader="none"/>
        </w:tabs>
      </w:pPr>
      <w:rPr>
        <w:rFonts w:cs="Times New Roman"/>
        <w:sz w:val="24"/>
        <w:szCs w:val="24"/>
      </w:rPr>
    </w:lvl>
    <w:lvl w:ilvl="1">
      <w:start w:val="1"/>
      <w:numFmt w:val="decimal"/>
      <w:isLgl/>
      <w:suff w:val="tab"/>
      <w:lvlText w:val="%1.%2."/>
      <w:lvlJc w:val="left"/>
      <w:pPr>
        <w:ind w:left="576" w:hanging="576"/>
        <w:tabs>
          <w:tab w:val="num" w:pos="576" w:leader="none"/>
        </w:tabs>
      </w:pPr>
      <w:rPr>
        <w:sz w:val="24"/>
        <w:szCs w:val="24"/>
      </w:rPr>
    </w:lvl>
    <w:lvl w:ilvl="2">
      <w:start w:val="1"/>
      <w:numFmt w:val="decimal"/>
      <w:isLgl/>
      <w:suff w:val="tab"/>
      <w:lvlText w:val="%1.%2.%3."/>
      <w:lvlJc w:val="left"/>
      <w:pPr>
        <w:ind w:left="284" w:firstLine="0"/>
        <w:tabs>
          <w:tab w:val="num" w:pos="454" w:leader="none"/>
        </w:tabs>
      </w:pPr>
      <w:rPr>
        <w:rFonts w:ascii="Times New Roman" w:hAnsi="Times New Roman" w:cs="Times New Roman"/>
        <w:b w:val="0"/>
        <w:bCs w:val="0"/>
        <w:i w:val="0"/>
        <w:iCs w:val="0"/>
        <w:sz w:val="24"/>
        <w:szCs w:val="24"/>
      </w:rPr>
    </w:lvl>
    <w:lvl w:ilvl="3">
      <w:start w:val="1"/>
      <w:numFmt w:val="decimal"/>
      <w:isLgl/>
      <w:suff w:val="tab"/>
      <w:lvlText w:val="%1.%2.%3.%4."/>
      <w:lvlJc w:val="left"/>
      <w:pPr>
        <w:ind w:left="1290" w:hanging="864"/>
        <w:tabs>
          <w:tab w:val="num" w:pos="1290" w:leader="none"/>
        </w:tabs>
      </w:pPr>
      <w:rPr>
        <w:rFonts w:ascii="Times New Roman" w:hAnsi="Times New Roman" w:cs="Times New Roman"/>
        <w:sz w:val="24"/>
        <w:szCs w:val="24"/>
      </w:rPr>
    </w:lvl>
    <w:lvl w:ilvl="4">
      <w:start w:val="1"/>
      <w:numFmt w:val="russianLower"/>
      <w:isLgl/>
      <w:suff w:val="tab"/>
      <w:lvlText w:val="%5)"/>
      <w:lvlJc w:val="left"/>
      <w:pPr>
        <w:ind w:left="928" w:hanging="360"/>
        <w:tabs>
          <w:tab w:val="num" w:pos="928" w:leader="none"/>
        </w:tabs>
      </w:pPr>
      <w:rPr>
        <w:rFonts w:ascii="Times New Roman" w:hAnsi="Times New Roman" w:cs="Times New Roman"/>
        <w:b w:val="0"/>
        <w:i w:val="0"/>
        <w:sz w:val="24"/>
        <w:szCs w:val="24"/>
      </w:rPr>
    </w:lvl>
    <w:lvl w:ilvl="5">
      <w:start w:val="1"/>
      <w:numFmt w:val="decimal"/>
      <w:isLgl/>
      <w:suff w:val="tab"/>
      <w:lvlText w:val="%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11">
    <w:multiLevelType w:val="hybridMultilevel"/>
    <w:lvl w:ilvl="0">
      <w:start w:val="1"/>
      <w:numFmt w:val="upperRoman"/>
      <w:isLgl/>
      <w:suff w:val="tab"/>
      <w:lvlText w:val="%1."/>
      <w:lvlJc w:val="right"/>
      <w:pPr>
        <w:ind w:left="720" w:hanging="180"/>
        <w:tabs>
          <w:tab w:val="num" w:pos="720" w:leader="none"/>
        </w:tabs>
      </w:pPr>
      <w:rPr>
        <w:sz w:val="24"/>
        <w:szCs w:val="24"/>
      </w:rPr>
    </w:lvl>
    <w:lvl w:ilvl="1">
      <w:start w:val="1"/>
      <w:numFmt w:val="decimal"/>
      <w:isLgl/>
      <w:suff w:val="tab"/>
      <w:lvlText w:val="Форма %2."/>
      <w:lvlJc w:val="left"/>
      <w:pPr>
        <w:ind w:left="1440" w:hanging="360"/>
        <w:tabs>
          <w:tab w:val="num" w:pos="2160" w:leader="none"/>
        </w:tabs>
      </w:pPr>
      <w:rPr>
        <w:rFonts w:ascii="Times New Roman" w:hAnsi="Times New Roman" w:cs="Times New Roman"/>
        <w:b/>
        <w:bCs/>
        <w:i w:val="0"/>
        <w:iCs w:val="0"/>
        <w:sz w:val="26"/>
        <w:szCs w:val="26"/>
      </w:rPr>
    </w:lvl>
    <w:lvl w:ilvl="2">
      <w:start w:val="1"/>
      <w:numFmt w:val="lowerRoman"/>
      <w:isLgl/>
      <w:suff w:val="tab"/>
      <w:lvlText w:val="%3."/>
      <w:lvlJc w:val="right"/>
      <w:pPr>
        <w:ind w:left="2160" w:hanging="180"/>
        <w:tabs>
          <w:tab w:val="num" w:pos="2160" w:leader="none"/>
        </w:tabs>
      </w:pPr>
    </w:lvl>
    <w:lvl w:ilvl="3">
      <w:start w:val="1"/>
      <w:numFmt w:val="decimal"/>
      <w:isLgl/>
      <w:suff w:val="tab"/>
      <w:lvlText w:val="%4."/>
      <w:lvlJc w:val="left"/>
      <w:pPr>
        <w:ind w:left="2880" w:hanging="360"/>
        <w:tabs>
          <w:tab w:val="num" w:pos="2880" w:leader="none"/>
        </w:tabs>
      </w:pPr>
    </w:lvl>
    <w:lvl w:ilvl="4">
      <w:start w:val="1"/>
      <w:numFmt w:val="lowerLetter"/>
      <w:isLgl/>
      <w:suff w:val="tab"/>
      <w:lvlText w:val="%5."/>
      <w:lvlJc w:val="left"/>
      <w:pPr>
        <w:ind w:left="3600" w:hanging="360"/>
        <w:tabs>
          <w:tab w:val="num" w:pos="3600" w:leader="none"/>
        </w:tabs>
      </w:pPr>
    </w:lvl>
    <w:lvl w:ilvl="5">
      <w:start w:val="1"/>
      <w:numFmt w:val="lowerRoman"/>
      <w:isLgl/>
      <w:suff w:val="tab"/>
      <w:lvlText w:val="%6."/>
      <w:lvlJc w:val="right"/>
      <w:pPr>
        <w:ind w:left="4320" w:hanging="180"/>
        <w:tabs>
          <w:tab w:val="num" w:pos="4320" w:leader="none"/>
        </w:tabs>
      </w:pPr>
    </w:lvl>
    <w:lvl w:ilvl="6">
      <w:start w:val="1"/>
      <w:numFmt w:val="decimal"/>
      <w:isLgl/>
      <w:suff w:val="tab"/>
      <w:lvlText w:val="%7."/>
      <w:lvlJc w:val="left"/>
      <w:pPr>
        <w:ind w:left="5040" w:hanging="360"/>
        <w:tabs>
          <w:tab w:val="num" w:pos="5040" w:leader="none"/>
        </w:tabs>
      </w:pPr>
    </w:lvl>
    <w:lvl w:ilvl="7">
      <w:start w:val="1"/>
      <w:numFmt w:val="lowerLetter"/>
      <w:isLgl/>
      <w:suff w:val="tab"/>
      <w:lvlText w:val="%8."/>
      <w:lvlJc w:val="left"/>
      <w:pPr>
        <w:ind w:left="5760" w:hanging="360"/>
        <w:tabs>
          <w:tab w:val="num" w:pos="5760" w:leader="none"/>
        </w:tabs>
      </w:pPr>
    </w:lvl>
    <w:lvl w:ilvl="8">
      <w:start w:val="1"/>
      <w:numFmt w:val="lowerRoman"/>
      <w:isLgl/>
      <w:suff w:val="tab"/>
      <w:lvlText w:val="%9."/>
      <w:lvlJc w:val="right"/>
      <w:pPr>
        <w:ind w:left="6480" w:hanging="180"/>
        <w:tabs>
          <w:tab w:val="num" w:pos="6480" w:leader="none"/>
        </w:tabs>
      </w:pPr>
    </w:lvl>
  </w:abstractNum>
  <w:abstractNum w:abstractNumId="12">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13">
    <w:multiLevelType w:val="hybridMultilevel"/>
    <w:lvl w:ilvl="0">
      <w:start w:val="1"/>
      <w:numFmt w:val="decimal"/>
      <w:isLgl/>
      <w:suff w:val="tab"/>
      <w:lvlText w:val="%1."/>
      <w:lvlJc w:val="left"/>
      <w:pPr>
        <w:ind w:left="0" w:firstLine="0"/>
        <w:tabs>
          <w:tab w:val="num" w:pos="0" w:leader="none"/>
        </w:tabs>
      </w:pPr>
      <w:rPr>
        <w:b/>
        <w:bCs/>
        <w:i w:val="0"/>
        <w:iCs w:val="0"/>
        <w:caps w:val="0"/>
        <w:smallCaps w:val="0"/>
        <w:strike w:val="0"/>
        <w:vanish w:val="0"/>
        <w:color w:val="000000"/>
        <w:spacing w:val="0"/>
        <w:position w:val="0"/>
        <w:sz w:val="20"/>
        <w:u w:val="none"/>
        <w:vertAlign w:val="baseline"/>
      </w:rPr>
    </w:lvl>
    <w:lvl w:ilvl="1">
      <w:start w:val="1"/>
      <w:numFmt w:val="decimal"/>
      <w:isLgl/>
      <w:suff w:val="tab"/>
      <w:lvlText w:val="%1.%2"/>
      <w:lvlJc w:val="left"/>
      <w:pPr>
        <w:ind w:left="1277" w:hanging="851"/>
        <w:tabs>
          <w:tab w:val="num" w:pos="1277" w:leader="none"/>
        </w:tabs>
      </w:pPr>
      <w:rPr>
        <w:caps w:val="0"/>
        <w:smallCaps w:val="0"/>
        <w:strike w:val="0"/>
        <w:vanish w:val="0"/>
        <w:color w:val="auto"/>
        <w:spacing w:val="0"/>
        <w:position w:val="0"/>
        <w:sz w:val="20"/>
        <w:u w:val="none"/>
        <w:vertAlign w:val="baseline"/>
      </w:rPr>
    </w:lvl>
    <w:lvl w:ilvl="2">
      <w:start w:val="1"/>
      <w:numFmt w:val="decimal"/>
      <w:pStyle w:val="1345"/>
      <w:isLgl/>
      <w:suff w:val="tab"/>
      <w:lvlText w:val="%1.%2.%3"/>
      <w:lvlJc w:val="left"/>
      <w:pPr>
        <w:ind w:left="-283" w:firstLine="567"/>
        <w:tabs>
          <w:tab w:val="num" w:pos="1135" w:leader="none"/>
        </w:tabs>
      </w:pPr>
      <w:rPr>
        <w:b w:val="0"/>
        <w:bCs w:val="0"/>
        <w:i w:val="0"/>
        <w:iCs w:val="0"/>
      </w:rPr>
    </w:lvl>
    <w:lvl w:ilvl="3">
      <w:start w:val="1"/>
      <w:numFmt w:val="decimal"/>
      <w:isLgl/>
      <w:suff w:val="tab"/>
      <w:lvlText w:val="%1.%2.%3.%4"/>
      <w:lvlJc w:val="left"/>
      <w:pPr>
        <w:ind w:left="0" w:firstLine="567"/>
        <w:tabs>
          <w:tab w:val="num" w:pos="1418" w:leader="none"/>
        </w:tabs>
      </w:pPr>
      <w:rPr>
        <w:b w:val="0"/>
        <w:bCs w:val="0"/>
        <w:i w:val="0"/>
        <w:iCs w:val="0"/>
        <w:caps w:val="0"/>
        <w:smallCaps w:val="0"/>
        <w:strike w:val="0"/>
        <w:vanish w:val="0"/>
        <w:color w:val="auto"/>
        <w:spacing w:val="0"/>
        <w:position w:val="0"/>
        <w:sz w:val="20"/>
        <w:u w:val="none"/>
        <w:vertAlign w:val="baseline"/>
      </w:rPr>
    </w:lvl>
    <w:lvl w:ilvl="4">
      <w:start w:val="1"/>
      <w:numFmt w:val="lowerLetter"/>
      <w:isLgl/>
      <w:suff w:val="tab"/>
      <w:lvlText w:val="%5)"/>
      <w:lvlJc w:val="left"/>
      <w:pPr>
        <w:ind w:left="0" w:firstLine="567"/>
        <w:tabs>
          <w:tab w:val="num" w:pos="1418" w:leader="none"/>
        </w:tabs>
      </w:pPr>
      <w:rPr>
        <w:b w:val="0"/>
        <w:bCs w:val="0"/>
        <w:i w:val="0"/>
        <w:iCs w:val="0"/>
      </w:rPr>
    </w:lvl>
    <w:lvl w:ilvl="5">
      <w:start w:val="1"/>
      <w:numFmt w:val="lowerRoman"/>
      <w:isLgl/>
      <w:suff w:val="tab"/>
      <w:lvlText w:val="%6)"/>
      <w:lvlJc w:val="left"/>
      <w:pPr>
        <w:ind w:left="1985" w:hanging="567"/>
        <w:tabs>
          <w:tab w:val="num" w:pos="1985" w:leader="none"/>
        </w:tabs>
      </w:pPr>
    </w:lvl>
    <w:lvl w:ilvl="6">
      <w:start w:val="1"/>
      <w:numFmt w:val="decimal"/>
      <w:isLgl/>
      <w:suff w:val="tab"/>
      <w:lvlText w:val="%5.%6.%7)"/>
      <w:lvlJc w:val="left"/>
      <w:pPr>
        <w:ind w:left="3119" w:hanging="851"/>
        <w:tabs>
          <w:tab w:val="num" w:pos="3119" w:leader="none"/>
        </w:tabs>
      </w:pPr>
    </w:lvl>
    <w:lvl w:ilvl="7">
      <w:start w:val="1"/>
      <w:numFmt w:val="decimal"/>
      <w:isLgl/>
      <w:suff w:val="tab"/>
      <w:lvlText w:val="%5.%6.%7.%8)"/>
      <w:lvlJc w:val="left"/>
      <w:pPr>
        <w:ind w:left="3402" w:hanging="567"/>
        <w:tabs>
          <w:tab w:val="num" w:pos="3402" w:leader="none"/>
        </w:tabs>
      </w:pPr>
    </w:lvl>
    <w:lvl w:ilvl="8">
      <w:start w:val="1"/>
      <w:numFmt w:val="decimal"/>
      <w:isLgl/>
      <w:suff w:val="tab"/>
      <w:lvlText w:val="%1.%2.%3.%4.%5.%6.%7.%8.%9."/>
      <w:lvlJc w:val="left"/>
      <w:pPr>
        <w:ind w:left="4320" w:hanging="1440"/>
        <w:tabs>
          <w:tab w:val="num" w:pos="6120" w:leader="none"/>
        </w:tabs>
      </w:pPr>
    </w:lvl>
  </w:abstractNum>
  <w:abstractNum w:abstractNumId="14">
    <w:multiLevelType w:val="hybridMultilevel"/>
    <w:lvl w:ilvl="0">
      <w:start w:val="1"/>
      <w:numFmt w:val="bullet"/>
      <w:isLgl/>
      <w:suff w:val="tab"/>
      <w:lvlText w:val=""/>
      <w:lvlJc w:val="left"/>
      <w:pPr>
        <w:ind w:left="1287" w:hanging="360"/>
        <w:tabs>
          <w:tab w:val="num" w:pos="0" w:leader="none"/>
        </w:tabs>
      </w:pPr>
      <w:rPr>
        <w:rFonts w:hint="default" w:ascii="Symbol" w:hAnsi="Symbol" w:cs="Symbol"/>
      </w:rPr>
    </w:lvl>
    <w:lvl w:ilvl="1">
      <w:start w:val="1"/>
      <w:numFmt w:val="bullet"/>
      <w:isLgl/>
      <w:suff w:val="tab"/>
      <w:lvlText w:val="o"/>
      <w:lvlJc w:val="left"/>
      <w:pPr>
        <w:ind w:left="2007" w:hanging="360"/>
        <w:tabs>
          <w:tab w:val="num" w:pos="0" w:leader="none"/>
        </w:tabs>
      </w:pPr>
      <w:rPr>
        <w:rFonts w:hint="default" w:ascii="Courier New" w:hAnsi="Courier New" w:cs="Courier New"/>
      </w:rPr>
    </w:lvl>
    <w:lvl w:ilvl="2">
      <w:start w:val="1"/>
      <w:numFmt w:val="bullet"/>
      <w:isLgl/>
      <w:suff w:val="tab"/>
      <w:lvlText w:val=""/>
      <w:lvlJc w:val="left"/>
      <w:pPr>
        <w:ind w:left="2727" w:hanging="360"/>
        <w:tabs>
          <w:tab w:val="num" w:pos="0" w:leader="none"/>
        </w:tabs>
      </w:pPr>
      <w:rPr>
        <w:rFonts w:hint="default" w:ascii="Wingdings" w:hAnsi="Wingdings" w:cs="Wingdings"/>
      </w:rPr>
    </w:lvl>
    <w:lvl w:ilvl="3">
      <w:start w:val="1"/>
      <w:numFmt w:val="bullet"/>
      <w:isLgl/>
      <w:suff w:val="tab"/>
      <w:lvlText w:val=""/>
      <w:lvlJc w:val="left"/>
      <w:pPr>
        <w:ind w:left="3447" w:hanging="360"/>
        <w:tabs>
          <w:tab w:val="num" w:pos="0" w:leader="none"/>
        </w:tabs>
      </w:pPr>
      <w:rPr>
        <w:rFonts w:hint="default" w:ascii="Symbol" w:hAnsi="Symbol" w:cs="Symbol"/>
      </w:rPr>
    </w:lvl>
    <w:lvl w:ilvl="4">
      <w:start w:val="1"/>
      <w:numFmt w:val="bullet"/>
      <w:isLgl/>
      <w:suff w:val="tab"/>
      <w:lvlText w:val="o"/>
      <w:lvlJc w:val="left"/>
      <w:pPr>
        <w:ind w:left="4167" w:hanging="360"/>
        <w:tabs>
          <w:tab w:val="num" w:pos="0" w:leader="none"/>
        </w:tabs>
      </w:pPr>
      <w:rPr>
        <w:rFonts w:hint="default" w:ascii="Courier New" w:hAnsi="Courier New" w:cs="Courier New"/>
      </w:rPr>
    </w:lvl>
    <w:lvl w:ilvl="5">
      <w:start w:val="1"/>
      <w:numFmt w:val="bullet"/>
      <w:isLgl/>
      <w:suff w:val="tab"/>
      <w:lvlText w:val=""/>
      <w:lvlJc w:val="left"/>
      <w:pPr>
        <w:ind w:left="4887" w:hanging="360"/>
        <w:tabs>
          <w:tab w:val="num" w:pos="0" w:leader="none"/>
        </w:tabs>
      </w:pPr>
      <w:rPr>
        <w:rFonts w:hint="default" w:ascii="Wingdings" w:hAnsi="Wingdings" w:cs="Wingdings"/>
      </w:rPr>
    </w:lvl>
    <w:lvl w:ilvl="6">
      <w:start w:val="1"/>
      <w:numFmt w:val="bullet"/>
      <w:isLgl/>
      <w:suff w:val="tab"/>
      <w:lvlText w:val=""/>
      <w:lvlJc w:val="left"/>
      <w:pPr>
        <w:ind w:left="5607" w:hanging="360"/>
        <w:tabs>
          <w:tab w:val="num" w:pos="0" w:leader="none"/>
        </w:tabs>
      </w:pPr>
      <w:rPr>
        <w:rFonts w:hint="default" w:ascii="Symbol" w:hAnsi="Symbol" w:cs="Symbol"/>
      </w:rPr>
    </w:lvl>
    <w:lvl w:ilvl="7">
      <w:start w:val="1"/>
      <w:numFmt w:val="bullet"/>
      <w:isLgl/>
      <w:suff w:val="tab"/>
      <w:lvlText w:val="o"/>
      <w:lvlJc w:val="left"/>
      <w:pPr>
        <w:ind w:left="6327" w:hanging="360"/>
        <w:tabs>
          <w:tab w:val="num" w:pos="0" w:leader="none"/>
        </w:tabs>
      </w:pPr>
      <w:rPr>
        <w:rFonts w:hint="default" w:ascii="Courier New" w:hAnsi="Courier New" w:cs="Courier New"/>
      </w:rPr>
    </w:lvl>
    <w:lvl w:ilvl="8">
      <w:start w:val="1"/>
      <w:numFmt w:val="bullet"/>
      <w:isLgl/>
      <w:suff w:val="tab"/>
      <w:lvlText w:val=""/>
      <w:lvlJc w:val="left"/>
      <w:pPr>
        <w:ind w:left="7047" w:hanging="360"/>
        <w:tabs>
          <w:tab w:val="num" w:pos="0" w:leader="none"/>
        </w:tabs>
      </w:pPr>
      <w:rPr>
        <w:rFonts w:hint="default" w:ascii="Wingdings" w:hAnsi="Wingdings" w:cs="Wingdings"/>
      </w:rPr>
    </w:lvl>
  </w:abstractNum>
  <w:abstractNum w:abstractNumId="15">
    <w:multiLevelType w:val="hybridMultilevel"/>
    <w:lvl w:ilvl="0">
      <w:start w:val="6"/>
      <w:numFmt w:val="decimal"/>
      <w:isLgl/>
      <w:suff w:val="tab"/>
      <w:lvlText w:val="%1"/>
      <w:lvlJc w:val="left"/>
      <w:pPr>
        <w:ind w:left="360" w:hanging="360"/>
        <w:tabs>
          <w:tab w:val="num" w:pos="0" w:leader="none"/>
        </w:tabs>
      </w:pPr>
    </w:lvl>
    <w:lvl w:ilvl="1">
      <w:start w:val="1"/>
      <w:numFmt w:val="decimal"/>
      <w:isLgl/>
      <w:suff w:val="tab"/>
      <w:lvlText w:val="%1.%2"/>
      <w:lvlJc w:val="left"/>
      <w:pPr>
        <w:ind w:left="927" w:hanging="360"/>
        <w:tabs>
          <w:tab w:val="num" w:pos="0" w:leader="none"/>
        </w:tabs>
      </w:pPr>
    </w:lvl>
    <w:lvl w:ilvl="2">
      <w:start w:val="1"/>
      <w:numFmt w:val="bullet"/>
      <w:isLgl/>
      <w:suff w:val="tab"/>
      <w:lvlText w:val=""/>
      <w:lvlJc w:val="left"/>
      <w:pPr>
        <w:ind w:left="1854" w:hanging="720"/>
        <w:tabs>
          <w:tab w:val="num" w:pos="0" w:leader="none"/>
        </w:tabs>
      </w:pPr>
      <w:rPr>
        <w:rFonts w:hint="default" w:ascii="Symbol" w:hAnsi="Symbol" w:cs="Symbol"/>
      </w:rPr>
    </w:lvl>
    <w:lvl w:ilvl="3">
      <w:start w:val="1"/>
      <w:numFmt w:val="decimal"/>
      <w:isLgl/>
      <w:suff w:val="tab"/>
      <w:lvlText w:val="%1.%2.%3.%4"/>
      <w:lvlJc w:val="left"/>
      <w:pPr>
        <w:ind w:left="2421" w:hanging="720"/>
        <w:tabs>
          <w:tab w:val="num" w:pos="0" w:leader="none"/>
        </w:tabs>
      </w:pPr>
    </w:lvl>
    <w:lvl w:ilvl="4">
      <w:start w:val="1"/>
      <w:numFmt w:val="decimal"/>
      <w:isLgl/>
      <w:suff w:val="tab"/>
      <w:lvlText w:val="%1.%2.%3.%4.%5"/>
      <w:lvlJc w:val="left"/>
      <w:pPr>
        <w:ind w:left="3348" w:hanging="1080"/>
        <w:tabs>
          <w:tab w:val="num" w:pos="0" w:leader="none"/>
        </w:tabs>
      </w:pPr>
    </w:lvl>
    <w:lvl w:ilvl="5">
      <w:start w:val="1"/>
      <w:numFmt w:val="decimal"/>
      <w:isLgl/>
      <w:suff w:val="tab"/>
      <w:lvlText w:val="%1.%2.%3.%4.%5.%6"/>
      <w:lvlJc w:val="left"/>
      <w:pPr>
        <w:ind w:left="3915" w:hanging="1080"/>
        <w:tabs>
          <w:tab w:val="num" w:pos="0" w:leader="none"/>
        </w:tabs>
      </w:pPr>
    </w:lvl>
    <w:lvl w:ilvl="6">
      <w:start w:val="1"/>
      <w:numFmt w:val="decimal"/>
      <w:isLgl/>
      <w:suff w:val="tab"/>
      <w:lvlText w:val="%1.%2.%3.%4.%5.%6.%7"/>
      <w:lvlJc w:val="left"/>
      <w:pPr>
        <w:ind w:left="4842" w:hanging="1440"/>
        <w:tabs>
          <w:tab w:val="num" w:pos="0" w:leader="none"/>
        </w:tabs>
      </w:pPr>
    </w:lvl>
    <w:lvl w:ilvl="7">
      <w:start w:val="1"/>
      <w:numFmt w:val="decimal"/>
      <w:isLgl/>
      <w:suff w:val="tab"/>
      <w:lvlText w:val="%1.%2.%3.%4.%5.%6.%7.%8"/>
      <w:lvlJc w:val="left"/>
      <w:pPr>
        <w:ind w:left="5409" w:hanging="1440"/>
        <w:tabs>
          <w:tab w:val="num" w:pos="0" w:leader="none"/>
        </w:tabs>
      </w:pPr>
    </w:lvl>
    <w:lvl w:ilvl="8">
      <w:start w:val="1"/>
      <w:numFmt w:val="decimal"/>
      <w:isLgl/>
      <w:suff w:val="tab"/>
      <w:lvlText w:val="%1.%2.%3.%4.%5.%6.%7.%8.%9"/>
      <w:lvlJc w:val="left"/>
      <w:pPr>
        <w:ind w:left="6336" w:hanging="1800"/>
        <w:tabs>
          <w:tab w:val="num" w:pos="0" w:leader="none"/>
        </w:tabs>
      </w:pPr>
    </w:lvl>
  </w:abstractNum>
  <w:abstractNum w:abstractNumId="16">
    <w:multiLevelType w:val="hybridMultilevel"/>
    <w:lvl w:ilvl="0">
      <w:start w:val="3"/>
      <w:numFmt w:val="decimal"/>
      <w:isLgl/>
      <w:suff w:val="tab"/>
      <w:lvlText w:val="%1."/>
      <w:lvlJc w:val="left"/>
      <w:pPr>
        <w:ind w:left="360" w:hanging="360"/>
        <w:tabs>
          <w:tab w:val="num" w:pos="0" w:leader="none"/>
        </w:tabs>
      </w:pPr>
    </w:lvl>
    <w:lvl w:ilvl="1">
      <w:start w:val="6"/>
      <w:numFmt w:val="decimal"/>
      <w:isLgl/>
      <w:suff w:val="tab"/>
      <w:lvlText w:val="%1.%2."/>
      <w:lvlJc w:val="left"/>
      <w:pPr>
        <w:ind w:left="927" w:hanging="360"/>
        <w:tabs>
          <w:tab w:val="num" w:pos="0" w:leader="none"/>
        </w:tabs>
      </w:pPr>
    </w:lvl>
    <w:lvl w:ilvl="2">
      <w:start w:val="1"/>
      <w:numFmt w:val="decimal"/>
      <w:isLgl/>
      <w:suff w:val="tab"/>
      <w:lvlText w:val="%1.%2.%3."/>
      <w:lvlJc w:val="left"/>
      <w:pPr>
        <w:ind w:left="1854" w:hanging="720"/>
        <w:tabs>
          <w:tab w:val="num" w:pos="0" w:leader="none"/>
        </w:tabs>
      </w:pPr>
    </w:lvl>
    <w:lvl w:ilvl="3">
      <w:start w:val="1"/>
      <w:numFmt w:val="decimal"/>
      <w:isLgl/>
      <w:suff w:val="tab"/>
      <w:lvlText w:val="%1.%2.%3.%4."/>
      <w:lvlJc w:val="left"/>
      <w:pPr>
        <w:ind w:left="720" w:hanging="720"/>
        <w:tabs>
          <w:tab w:val="num" w:pos="0" w:leader="none"/>
        </w:tabs>
      </w:pPr>
    </w:lvl>
    <w:lvl w:ilvl="4">
      <w:start w:val="1"/>
      <w:numFmt w:val="decimal"/>
      <w:isLgl/>
      <w:suff w:val="tab"/>
      <w:lvlText w:val="%1.%2.%3.%4.%5."/>
      <w:lvlJc w:val="left"/>
      <w:pPr>
        <w:ind w:left="3348" w:hanging="1080"/>
        <w:tabs>
          <w:tab w:val="num" w:pos="0" w:leader="none"/>
        </w:tabs>
      </w:pPr>
    </w:lvl>
    <w:lvl w:ilvl="5">
      <w:start w:val="1"/>
      <w:numFmt w:val="decimal"/>
      <w:isLgl/>
      <w:suff w:val="tab"/>
      <w:lvlText w:val="%1.%2.%3.%4.%5.%6."/>
      <w:lvlJc w:val="left"/>
      <w:pPr>
        <w:ind w:left="3915" w:hanging="1080"/>
        <w:tabs>
          <w:tab w:val="num" w:pos="0" w:leader="none"/>
        </w:tabs>
      </w:pPr>
    </w:lvl>
    <w:lvl w:ilvl="6">
      <w:start w:val="1"/>
      <w:numFmt w:val="decimal"/>
      <w:isLgl/>
      <w:suff w:val="tab"/>
      <w:lvlText w:val="%1.%2.%3.%4.%5.%6.%7."/>
      <w:lvlJc w:val="left"/>
      <w:pPr>
        <w:ind w:left="4842" w:hanging="1440"/>
        <w:tabs>
          <w:tab w:val="num" w:pos="0" w:leader="none"/>
        </w:tabs>
      </w:pPr>
    </w:lvl>
    <w:lvl w:ilvl="7">
      <w:start w:val="1"/>
      <w:numFmt w:val="decimal"/>
      <w:isLgl/>
      <w:suff w:val="tab"/>
      <w:lvlText w:val="%1.%2.%3.%4.%5.%6.%7.%8."/>
      <w:lvlJc w:val="left"/>
      <w:pPr>
        <w:ind w:left="5409" w:hanging="1440"/>
        <w:tabs>
          <w:tab w:val="num" w:pos="0" w:leader="none"/>
        </w:tabs>
      </w:pPr>
    </w:lvl>
    <w:lvl w:ilvl="8">
      <w:start w:val="1"/>
      <w:numFmt w:val="decimal"/>
      <w:isLgl/>
      <w:suff w:val="tab"/>
      <w:lvlText w:val="%1.%2.%3.%4.%5.%6.%7.%8.%9."/>
      <w:lvlJc w:val="left"/>
      <w:pPr>
        <w:ind w:left="6336" w:hanging="1800"/>
        <w:tabs>
          <w:tab w:val="num" w:pos="0" w:leader="none"/>
        </w:tabs>
      </w:pPr>
    </w:lvl>
  </w:abstractNum>
  <w:abstractNum w:abstractNumId="17">
    <w:multiLevelType w:val="hybridMultilevel"/>
    <w:lvl w:ilvl="0">
      <w:start w:val="1"/>
      <w:numFmt w:val="decimal"/>
      <w:isLgl/>
      <w:suff w:val="tab"/>
      <w:lvlText w:val="%1."/>
      <w:lvlJc w:val="left"/>
      <w:pPr>
        <w:ind w:left="720" w:hanging="360"/>
        <w:tabs>
          <w:tab w:val="num" w:pos="0" w:leader="none"/>
        </w:tabs>
      </w:pPr>
    </w:lvl>
    <w:lvl w:ilvl="1">
      <w:start w:val="1"/>
      <w:numFmt w:val="decimal"/>
      <w:isLgl/>
      <w:suff w:val="tab"/>
      <w:lvlText w:val="%1.%2."/>
      <w:lvlJc w:val="left"/>
      <w:pPr>
        <w:ind w:left="720" w:hanging="360"/>
        <w:tabs>
          <w:tab w:val="num" w:pos="0" w:leader="none"/>
        </w:tabs>
      </w:pPr>
      <w:rPr>
        <w:b w:val="0"/>
      </w:rPr>
    </w:lvl>
    <w:lvl w:ilvl="2">
      <w:start w:val="1"/>
      <w:numFmt w:val="decimal"/>
      <w:isLgl/>
      <w:suff w:val="tab"/>
      <w:lvlText w:val="%1.%2.%3."/>
      <w:lvlJc w:val="left"/>
      <w:pPr>
        <w:ind w:left="1080" w:hanging="720"/>
        <w:tabs>
          <w:tab w:val="num" w:pos="0" w:leader="none"/>
        </w:tabs>
      </w:pPr>
      <w:rPr>
        <w:b/>
      </w:rPr>
    </w:lvl>
    <w:lvl w:ilvl="3">
      <w:start w:val="1"/>
      <w:numFmt w:val="decimal"/>
      <w:isLgl/>
      <w:suff w:val="tab"/>
      <w:lvlText w:val="%1.%2.%3.%4."/>
      <w:lvlJc w:val="left"/>
      <w:pPr>
        <w:ind w:left="1080" w:hanging="720"/>
        <w:tabs>
          <w:tab w:val="num" w:pos="0" w:leader="none"/>
        </w:tabs>
      </w:pPr>
      <w:rPr>
        <w:b/>
      </w:rPr>
    </w:lvl>
    <w:lvl w:ilvl="4">
      <w:start w:val="1"/>
      <w:numFmt w:val="decimal"/>
      <w:isLgl/>
      <w:suff w:val="tab"/>
      <w:lvlText w:val="%1.%2.%3.%4.%5."/>
      <w:lvlJc w:val="left"/>
      <w:pPr>
        <w:ind w:left="1440" w:hanging="1080"/>
        <w:tabs>
          <w:tab w:val="num" w:pos="0" w:leader="none"/>
        </w:tabs>
      </w:pPr>
      <w:rPr>
        <w:b/>
      </w:rPr>
    </w:lvl>
    <w:lvl w:ilvl="5">
      <w:start w:val="1"/>
      <w:numFmt w:val="decimal"/>
      <w:isLgl/>
      <w:suff w:val="tab"/>
      <w:lvlText w:val="%1.%2.%3.%4.%5.%6."/>
      <w:lvlJc w:val="left"/>
      <w:pPr>
        <w:ind w:left="1440" w:hanging="1080"/>
        <w:tabs>
          <w:tab w:val="num" w:pos="0" w:leader="none"/>
        </w:tabs>
      </w:pPr>
      <w:rPr>
        <w:b/>
      </w:rPr>
    </w:lvl>
    <w:lvl w:ilvl="6">
      <w:start w:val="1"/>
      <w:numFmt w:val="decimal"/>
      <w:isLgl/>
      <w:suff w:val="tab"/>
      <w:lvlText w:val="%1.%2.%3.%4.%5.%6.%7."/>
      <w:lvlJc w:val="left"/>
      <w:pPr>
        <w:ind w:left="1800" w:hanging="1440"/>
        <w:tabs>
          <w:tab w:val="num" w:pos="0" w:leader="none"/>
        </w:tabs>
      </w:pPr>
      <w:rPr>
        <w:b/>
      </w:rPr>
    </w:lvl>
    <w:lvl w:ilvl="7">
      <w:start w:val="1"/>
      <w:numFmt w:val="decimal"/>
      <w:isLgl/>
      <w:suff w:val="tab"/>
      <w:lvlText w:val="%1.%2.%3.%4.%5.%6.%7.%8."/>
      <w:lvlJc w:val="left"/>
      <w:pPr>
        <w:ind w:left="1800" w:hanging="1440"/>
        <w:tabs>
          <w:tab w:val="num" w:pos="0" w:leader="none"/>
        </w:tabs>
      </w:pPr>
      <w:rPr>
        <w:b/>
      </w:rPr>
    </w:lvl>
    <w:lvl w:ilvl="8">
      <w:start w:val="1"/>
      <w:numFmt w:val="decimal"/>
      <w:isLgl/>
      <w:suff w:val="tab"/>
      <w:lvlText w:val="%1.%2.%3.%4.%5.%6.%7.%8.%9."/>
      <w:lvlJc w:val="left"/>
      <w:pPr>
        <w:ind w:left="2160" w:hanging="1800"/>
        <w:tabs>
          <w:tab w:val="num" w:pos="0" w:leader="none"/>
        </w:tabs>
      </w:pPr>
      <w:rPr>
        <w:b/>
      </w:rPr>
    </w:lvl>
  </w:abstractNum>
  <w:abstractNum w:abstractNumId="18">
    <w:multiLevelType w:val="hybridMultilevel"/>
    <w:lvl w:ilvl="0">
      <w:start w:val="1"/>
      <w:numFmt w:val="bullet"/>
      <w:isLgl/>
      <w:suff w:val="tab"/>
      <w:lvlText w:val=""/>
      <w:lvlJc w:val="left"/>
      <w:pPr>
        <w:ind w:left="720" w:hanging="360"/>
        <w:tabs>
          <w:tab w:val="num" w:pos="0" w:leader="none"/>
        </w:tabs>
      </w:pPr>
      <w:rPr>
        <w:rFonts w:hint="default" w:ascii="Symbol" w:hAnsi="Symbol" w:cs="Symbol"/>
      </w:rPr>
    </w:lvl>
    <w:lvl w:ilvl="1">
      <w:start w:val="1"/>
      <w:numFmt w:val="bullet"/>
      <w:isLgl/>
      <w:suff w:val="tab"/>
      <w:lvlText w:val="o"/>
      <w:lvlJc w:val="left"/>
      <w:pPr>
        <w:ind w:left="1440" w:hanging="360"/>
        <w:tabs>
          <w:tab w:val="num" w:pos="0" w:leader="none"/>
        </w:tabs>
      </w:pPr>
      <w:rPr>
        <w:rFonts w:hint="default" w:ascii="Courier New" w:hAnsi="Courier New" w:cs="Courier New"/>
      </w:rPr>
    </w:lvl>
    <w:lvl w:ilvl="2">
      <w:start w:val="1"/>
      <w:numFmt w:val="bullet"/>
      <w:isLgl/>
      <w:suff w:val="tab"/>
      <w:lvlText w:val=""/>
      <w:lvlJc w:val="left"/>
      <w:pPr>
        <w:ind w:left="2160" w:hanging="360"/>
        <w:tabs>
          <w:tab w:val="num" w:pos="0" w:leader="none"/>
        </w:tabs>
      </w:pPr>
      <w:rPr>
        <w:rFonts w:hint="default" w:ascii="Wingdings" w:hAnsi="Wingdings" w:cs="Wingdings"/>
      </w:rPr>
    </w:lvl>
    <w:lvl w:ilvl="3">
      <w:start w:val="1"/>
      <w:numFmt w:val="bullet"/>
      <w:isLgl/>
      <w:suff w:val="tab"/>
      <w:lvlText w:val=""/>
      <w:lvlJc w:val="left"/>
      <w:pPr>
        <w:ind w:left="2880" w:hanging="360"/>
        <w:tabs>
          <w:tab w:val="num" w:pos="0" w:leader="none"/>
        </w:tabs>
      </w:pPr>
      <w:rPr>
        <w:rFonts w:hint="default" w:ascii="Symbol" w:hAnsi="Symbol" w:cs="Symbol"/>
      </w:rPr>
    </w:lvl>
    <w:lvl w:ilvl="4">
      <w:start w:val="1"/>
      <w:numFmt w:val="bullet"/>
      <w:isLgl/>
      <w:suff w:val="tab"/>
      <w:lvlText w:val="o"/>
      <w:lvlJc w:val="left"/>
      <w:pPr>
        <w:ind w:left="3600" w:hanging="360"/>
        <w:tabs>
          <w:tab w:val="num" w:pos="0" w:leader="none"/>
        </w:tabs>
      </w:pPr>
      <w:rPr>
        <w:rFonts w:hint="default" w:ascii="Courier New" w:hAnsi="Courier New" w:cs="Courier New"/>
      </w:rPr>
    </w:lvl>
    <w:lvl w:ilvl="5">
      <w:start w:val="1"/>
      <w:numFmt w:val="bullet"/>
      <w:isLgl/>
      <w:suff w:val="tab"/>
      <w:lvlText w:val=""/>
      <w:lvlJc w:val="left"/>
      <w:pPr>
        <w:ind w:left="4320" w:hanging="360"/>
        <w:tabs>
          <w:tab w:val="num" w:pos="0" w:leader="none"/>
        </w:tabs>
      </w:pPr>
      <w:rPr>
        <w:rFonts w:hint="default" w:ascii="Wingdings" w:hAnsi="Wingdings" w:cs="Wingdings"/>
      </w:rPr>
    </w:lvl>
    <w:lvl w:ilvl="6">
      <w:start w:val="1"/>
      <w:numFmt w:val="bullet"/>
      <w:isLgl/>
      <w:suff w:val="tab"/>
      <w:lvlText w:val=""/>
      <w:lvlJc w:val="left"/>
      <w:pPr>
        <w:ind w:left="5040" w:hanging="360"/>
        <w:tabs>
          <w:tab w:val="num" w:pos="0" w:leader="none"/>
        </w:tabs>
      </w:pPr>
      <w:rPr>
        <w:rFonts w:hint="default" w:ascii="Symbol" w:hAnsi="Symbol" w:cs="Symbol"/>
      </w:rPr>
    </w:lvl>
    <w:lvl w:ilvl="7">
      <w:start w:val="1"/>
      <w:numFmt w:val="bullet"/>
      <w:isLgl/>
      <w:suff w:val="tab"/>
      <w:lvlText w:val="o"/>
      <w:lvlJc w:val="left"/>
      <w:pPr>
        <w:ind w:left="5760" w:hanging="360"/>
        <w:tabs>
          <w:tab w:val="num" w:pos="0" w:leader="none"/>
        </w:tabs>
      </w:pPr>
      <w:rPr>
        <w:rFonts w:hint="default" w:ascii="Courier New" w:hAnsi="Courier New" w:cs="Courier New"/>
      </w:rPr>
    </w:lvl>
    <w:lvl w:ilvl="8">
      <w:start w:val="1"/>
      <w:numFmt w:val="bullet"/>
      <w:isLgl/>
      <w:suff w:val="tab"/>
      <w:lvlText w:val=""/>
      <w:lvlJc w:val="left"/>
      <w:pPr>
        <w:ind w:left="6480" w:hanging="360"/>
        <w:tabs>
          <w:tab w:val="num" w:pos="0" w:leader="none"/>
        </w:tabs>
      </w:pPr>
      <w:rPr>
        <w:rFonts w:hint="default" w:ascii="Wingdings" w:hAnsi="Wingdings" w:cs="Wingdings"/>
      </w:rPr>
    </w:lvl>
  </w:abstractNum>
  <w:abstractNum w:abstractNumId="19">
    <w:multiLevelType w:val="hybridMultilevel"/>
    <w:lvl w:ilvl="0">
      <w:start w:val="1"/>
      <w:numFmt w:val="russianLower"/>
      <w:isLgl/>
      <w:suff w:val="tab"/>
      <w:lvlText w:val="%1)"/>
      <w:lvlJc w:val="left"/>
      <w:pPr>
        <w:ind w:left="1287" w:hanging="360"/>
        <w:tabs>
          <w:tab w:val="num" w:pos="0" w:leader="none"/>
        </w:tabs>
      </w:pPr>
      <w:rPr>
        <w:rFonts w:cs="Times New Roman"/>
      </w:rPr>
    </w:lvl>
    <w:lvl w:ilvl="1">
      <w:start w:val="1"/>
      <w:numFmt w:val="lowerLetter"/>
      <w:isLgl/>
      <w:suff w:val="tab"/>
      <w:lvlText w:val="%2."/>
      <w:lvlJc w:val="left"/>
      <w:pPr>
        <w:ind w:left="2007" w:hanging="360"/>
        <w:tabs>
          <w:tab w:val="num" w:pos="0" w:leader="none"/>
        </w:tabs>
      </w:pPr>
    </w:lvl>
    <w:lvl w:ilvl="2">
      <w:start w:val="1"/>
      <w:numFmt w:val="lowerRoman"/>
      <w:isLgl/>
      <w:suff w:val="tab"/>
      <w:lvlText w:val="%3."/>
      <w:lvlJc w:val="right"/>
      <w:pPr>
        <w:ind w:left="2727" w:hanging="180"/>
        <w:tabs>
          <w:tab w:val="num" w:pos="0" w:leader="none"/>
        </w:tabs>
      </w:pPr>
    </w:lvl>
    <w:lvl w:ilvl="3">
      <w:start w:val="1"/>
      <w:numFmt w:val="decimal"/>
      <w:isLgl/>
      <w:suff w:val="tab"/>
      <w:lvlText w:val="%4."/>
      <w:lvlJc w:val="left"/>
      <w:pPr>
        <w:ind w:left="3447" w:hanging="360"/>
        <w:tabs>
          <w:tab w:val="num" w:pos="0" w:leader="none"/>
        </w:tabs>
      </w:pPr>
    </w:lvl>
    <w:lvl w:ilvl="4">
      <w:start w:val="1"/>
      <w:numFmt w:val="lowerLetter"/>
      <w:isLgl/>
      <w:suff w:val="tab"/>
      <w:lvlText w:val="%5."/>
      <w:lvlJc w:val="left"/>
      <w:pPr>
        <w:ind w:left="4167" w:hanging="360"/>
        <w:tabs>
          <w:tab w:val="num" w:pos="0" w:leader="none"/>
        </w:tabs>
      </w:pPr>
    </w:lvl>
    <w:lvl w:ilvl="5">
      <w:start w:val="1"/>
      <w:numFmt w:val="lowerRoman"/>
      <w:isLgl/>
      <w:suff w:val="tab"/>
      <w:lvlText w:val="%6."/>
      <w:lvlJc w:val="right"/>
      <w:pPr>
        <w:ind w:left="4887" w:hanging="180"/>
        <w:tabs>
          <w:tab w:val="num" w:pos="0" w:leader="none"/>
        </w:tabs>
      </w:pPr>
    </w:lvl>
    <w:lvl w:ilvl="6">
      <w:start w:val="1"/>
      <w:numFmt w:val="decimal"/>
      <w:isLgl/>
      <w:suff w:val="tab"/>
      <w:lvlText w:val="%7."/>
      <w:lvlJc w:val="left"/>
      <w:pPr>
        <w:ind w:left="5607" w:hanging="360"/>
        <w:tabs>
          <w:tab w:val="num" w:pos="0" w:leader="none"/>
        </w:tabs>
      </w:pPr>
    </w:lvl>
    <w:lvl w:ilvl="7">
      <w:start w:val="1"/>
      <w:numFmt w:val="lowerLetter"/>
      <w:isLgl/>
      <w:suff w:val="tab"/>
      <w:lvlText w:val="%8."/>
      <w:lvlJc w:val="left"/>
      <w:pPr>
        <w:ind w:left="6327" w:hanging="360"/>
        <w:tabs>
          <w:tab w:val="num" w:pos="0" w:leader="none"/>
        </w:tabs>
      </w:pPr>
    </w:lvl>
    <w:lvl w:ilvl="8">
      <w:start w:val="1"/>
      <w:numFmt w:val="lowerRoman"/>
      <w:isLgl/>
      <w:suff w:val="tab"/>
      <w:lvlText w:val="%9."/>
      <w:lvlJc w:val="right"/>
      <w:pPr>
        <w:ind w:left="7047" w:hanging="180"/>
        <w:tabs>
          <w:tab w:val="num" w:pos="0" w:leader="none"/>
        </w:tabs>
      </w:pPr>
    </w:lvl>
  </w:abstractNum>
  <w:abstractNum w:abstractNumId="20">
    <w:multiLevelType w:val="hybridMultilevel"/>
    <w:lvl w:ilvl="0">
      <w:start w:val="1"/>
      <w:numFmt w:val="decimal"/>
      <w:pStyle w:val="1267"/>
      <w:isLgl/>
      <w:suff w:val="tab"/>
      <w:lvlText w:val="%1."/>
      <w:lvlJc w:val="left"/>
      <w:pPr>
        <w:ind w:left="360" w:hanging="360"/>
        <w:tabs>
          <w:tab w:val="num" w:pos="360" w:leader="none"/>
        </w:tabs>
      </w:pPr>
    </w:lvl>
    <w:lvl w:ilvl="1">
      <w:start w:val="1"/>
      <w:numFmt w:val="bullet"/>
      <w:isLgl/>
      <w:suff w:val="tab"/>
      <w:lvlText w:val="o"/>
      <w:lvlJc w:val="left"/>
      <w:pPr>
        <w:ind w:left="1440" w:hanging="360"/>
        <w:tabs>
          <w:tab w:val="num" w:pos="0" w:leader="none"/>
        </w:tabs>
      </w:pPr>
      <w:rPr>
        <w:rFonts w:hint="default" w:ascii="Courier New" w:hAnsi="Courier New" w:cs="Courier New"/>
      </w:rPr>
    </w:lvl>
    <w:lvl w:ilvl="2">
      <w:start w:val="1"/>
      <w:numFmt w:val="bullet"/>
      <w:isLgl/>
      <w:suff w:val="tab"/>
      <w:lvlText w:val="§"/>
      <w:lvlJc w:val="left"/>
      <w:pPr>
        <w:ind w:left="2160" w:hanging="360"/>
        <w:tabs>
          <w:tab w:val="num" w:pos="0" w:leader="none"/>
        </w:tabs>
      </w:pPr>
      <w:rPr>
        <w:rFonts w:hint="default" w:ascii="Wingdings" w:hAnsi="Wingdings" w:cs="Wingdings"/>
      </w:rPr>
    </w:lvl>
    <w:lvl w:ilvl="3">
      <w:start w:val="1"/>
      <w:numFmt w:val="bullet"/>
      <w:isLgl/>
      <w:suff w:val="tab"/>
      <w:lvlText w:val="·"/>
      <w:lvlJc w:val="left"/>
      <w:pPr>
        <w:ind w:left="2880" w:hanging="360"/>
        <w:tabs>
          <w:tab w:val="num" w:pos="0" w:leader="none"/>
        </w:tabs>
      </w:pPr>
      <w:rPr>
        <w:rFonts w:hint="default" w:ascii="Symbol" w:hAnsi="Symbol" w:cs="Symbol"/>
      </w:rPr>
    </w:lvl>
    <w:lvl w:ilvl="4">
      <w:start w:val="1"/>
      <w:numFmt w:val="bullet"/>
      <w:isLgl/>
      <w:suff w:val="tab"/>
      <w:lvlText w:val="o"/>
      <w:lvlJc w:val="left"/>
      <w:pPr>
        <w:ind w:left="3600" w:hanging="360"/>
        <w:tabs>
          <w:tab w:val="num" w:pos="0" w:leader="none"/>
        </w:tabs>
      </w:pPr>
      <w:rPr>
        <w:rFonts w:hint="default" w:ascii="Courier New" w:hAnsi="Courier New" w:cs="Courier New"/>
      </w:rPr>
    </w:lvl>
    <w:lvl w:ilvl="5">
      <w:start w:val="1"/>
      <w:numFmt w:val="bullet"/>
      <w:isLgl/>
      <w:suff w:val="tab"/>
      <w:lvlText w:val="§"/>
      <w:lvlJc w:val="left"/>
      <w:pPr>
        <w:ind w:left="4320" w:hanging="360"/>
        <w:tabs>
          <w:tab w:val="num" w:pos="0" w:leader="none"/>
        </w:tabs>
      </w:pPr>
      <w:rPr>
        <w:rFonts w:hint="default" w:ascii="Wingdings" w:hAnsi="Wingdings" w:cs="Wingdings"/>
      </w:rPr>
    </w:lvl>
    <w:lvl w:ilvl="6">
      <w:start w:val="1"/>
      <w:numFmt w:val="bullet"/>
      <w:isLgl/>
      <w:suff w:val="tab"/>
      <w:lvlText w:val="·"/>
      <w:lvlJc w:val="left"/>
      <w:pPr>
        <w:ind w:left="5040" w:hanging="360"/>
        <w:tabs>
          <w:tab w:val="num" w:pos="0" w:leader="none"/>
        </w:tabs>
      </w:pPr>
      <w:rPr>
        <w:rFonts w:hint="default" w:ascii="Symbol" w:hAnsi="Symbol" w:cs="Symbol"/>
      </w:rPr>
    </w:lvl>
    <w:lvl w:ilvl="7">
      <w:start w:val="1"/>
      <w:numFmt w:val="bullet"/>
      <w:isLgl/>
      <w:suff w:val="tab"/>
      <w:lvlText w:val="o"/>
      <w:lvlJc w:val="left"/>
      <w:pPr>
        <w:ind w:left="5760" w:hanging="360"/>
        <w:tabs>
          <w:tab w:val="num" w:pos="0" w:leader="none"/>
        </w:tabs>
      </w:pPr>
      <w:rPr>
        <w:rFonts w:hint="default" w:ascii="Courier New" w:hAnsi="Courier New" w:cs="Courier New"/>
      </w:rPr>
    </w:lvl>
    <w:lvl w:ilvl="8">
      <w:start w:val="1"/>
      <w:numFmt w:val="bullet"/>
      <w:isLgl/>
      <w:suff w:val="tab"/>
      <w:lvlText w:val="§"/>
      <w:lvlJc w:val="left"/>
      <w:pPr>
        <w:ind w:left="6480" w:hanging="360"/>
        <w:tabs>
          <w:tab w:val="num" w:pos="0" w:leader="none"/>
        </w:tabs>
      </w:pPr>
      <w:rPr>
        <w:rFonts w:hint="default" w:ascii="Wingdings" w:hAnsi="Wingdings" w:cs="Wingdings"/>
      </w:rPr>
    </w:lvl>
  </w:abstractNum>
  <w:abstractNum w:abstractNumId="21">
    <w:multiLevelType w:val="hybridMultilevel"/>
    <w:lvl w:ilvl="0">
      <w:start w:val="6"/>
      <w:numFmt w:val="decimal"/>
      <w:isLgl w:val="false"/>
      <w:suff w:val="tab"/>
      <w:lvlText w:val="Форма %1."/>
      <w:lvlJc w:val="left"/>
      <w:pPr>
        <w:ind w:left="6031" w:hanging="360"/>
        <w:tabs>
          <w:tab w:val="num" w:pos="0" w:leader="none"/>
        </w:tabs>
      </w:pPr>
      <w:rPr>
        <w:rFonts w:hint="default" w:ascii="Times New Roman" w:hAnsi="Times New Roman" w:cs="Times New Roman"/>
        <w:b/>
        <w:bCs/>
        <w:i w:val="0"/>
        <w:iCs w:val="0"/>
        <w:sz w:val="24"/>
        <w:szCs w:val="24"/>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3">
    <w:multiLevelType w:val="hybridMultilevel"/>
    <w:lvl w:ilvl="0">
      <w:start w:val="1"/>
      <w:numFmt w:val="russianLower"/>
      <w:isLgl w:val="false"/>
      <w:suff w:val="tab"/>
      <w:lvlText w:val="%1)"/>
      <w:lvlJc w:val="left"/>
      <w:pPr>
        <w:ind w:left="432" w:hanging="432"/>
        <w:tabs>
          <w:tab w:val="num" w:pos="432" w:leader="none"/>
        </w:tabs>
      </w:pPr>
      <w:rPr>
        <w:rFonts w:cs="Times New Roman"/>
        <w:sz w:val="24"/>
        <w:szCs w:val="24"/>
      </w:rPr>
    </w:lvl>
    <w:lvl w:ilvl="1">
      <w:start w:val="1"/>
      <w:numFmt w:val="decimal"/>
      <w:isLgl/>
      <w:suff w:val="tab"/>
      <w:lvlText w:val="%1.%2."/>
      <w:lvlJc w:val="left"/>
      <w:pPr>
        <w:ind w:left="576" w:hanging="576"/>
        <w:tabs>
          <w:tab w:val="num" w:pos="576" w:leader="none"/>
        </w:tabs>
      </w:pPr>
      <w:rPr>
        <w:sz w:val="24"/>
        <w:szCs w:val="24"/>
      </w:rPr>
    </w:lvl>
    <w:lvl w:ilvl="2">
      <w:start w:val="1"/>
      <w:numFmt w:val="decimal"/>
      <w:isLgl/>
      <w:suff w:val="tab"/>
      <w:lvlText w:val="%1.%2.%3."/>
      <w:lvlJc w:val="left"/>
      <w:pPr>
        <w:ind w:left="284" w:firstLine="0"/>
        <w:tabs>
          <w:tab w:val="num" w:pos="454" w:leader="none"/>
        </w:tabs>
      </w:pPr>
      <w:rPr>
        <w:rFonts w:ascii="Times New Roman" w:hAnsi="Times New Roman" w:cs="Times New Roman"/>
        <w:b w:val="0"/>
        <w:bCs w:val="0"/>
        <w:i w:val="0"/>
        <w:iCs w:val="0"/>
        <w:sz w:val="24"/>
        <w:szCs w:val="24"/>
      </w:rPr>
    </w:lvl>
    <w:lvl w:ilvl="3">
      <w:start w:val="1"/>
      <w:numFmt w:val="decimal"/>
      <w:isLgl/>
      <w:suff w:val="tab"/>
      <w:lvlText w:val="%1.%2.%3.%4."/>
      <w:lvlJc w:val="left"/>
      <w:pPr>
        <w:ind w:left="1290" w:hanging="864"/>
        <w:tabs>
          <w:tab w:val="num" w:pos="1290" w:leader="none"/>
        </w:tabs>
      </w:pPr>
      <w:rPr>
        <w:rFonts w:ascii="Times New Roman" w:hAnsi="Times New Roman" w:cs="Times New Roman"/>
        <w:sz w:val="24"/>
        <w:szCs w:val="24"/>
      </w:rPr>
    </w:lvl>
    <w:lvl w:ilvl="4">
      <w:start w:val="1"/>
      <w:numFmt w:val="russianLower"/>
      <w:isLgl/>
      <w:suff w:val="tab"/>
      <w:lvlText w:val="%5)"/>
      <w:lvlJc w:val="left"/>
      <w:pPr>
        <w:ind w:left="928" w:hanging="360"/>
        <w:tabs>
          <w:tab w:val="num" w:pos="928" w:leader="none"/>
        </w:tabs>
      </w:pPr>
      <w:rPr>
        <w:rFonts w:ascii="Times New Roman" w:hAnsi="Times New Roman" w:cs="Times New Roman"/>
        <w:b w:val="0"/>
        <w:i w:val="0"/>
        <w:sz w:val="24"/>
        <w:szCs w:val="24"/>
      </w:rPr>
    </w:lvl>
    <w:lvl w:ilvl="5">
      <w:start w:val="1"/>
      <w:numFmt w:val="decimal"/>
      <w:isLgl/>
      <w:suff w:val="tab"/>
      <w:lvlText w:val="%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24">
    <w:multiLevelType w:val="hybridMultilevel"/>
    <w:lvl w:ilvl="0">
      <w:start w:val="1"/>
      <w:numFmt w:val="bullet"/>
      <w:isLgl w:val="false"/>
      <w:suff w:val="tab"/>
      <w:lvlText w:val=""/>
      <w:lvlJc w:val="left"/>
      <w:pPr>
        <w:ind w:left="1080" w:hanging="360"/>
        <w:tabs>
          <w:tab w:val="num" w:pos="1080" w:leader="none"/>
        </w:tabs>
      </w:pPr>
      <w:rPr>
        <w:rFonts w:hint="default" w:ascii="Wingdings" w:hAnsi="Wingdings"/>
      </w:rPr>
    </w:lvl>
    <w:lvl w:ilvl="1">
      <w:start w:val="1"/>
      <w:numFmt w:val="bullet"/>
      <w:isLgl w:val="false"/>
      <w:suff w:val="tab"/>
      <w:lvlText w:val="o"/>
      <w:lvlJc w:val="left"/>
      <w:pPr>
        <w:ind w:left="1800" w:hanging="360"/>
        <w:tabs>
          <w:tab w:val="num" w:pos="1800" w:leader="none"/>
        </w:tabs>
      </w:pPr>
      <w:rPr>
        <w:rFonts w:hint="default" w:ascii="Courier New" w:hAnsi="Courier New" w:cs="Times New Roman"/>
      </w:rPr>
    </w:lvl>
    <w:lvl w:ilvl="2">
      <w:start w:val="1"/>
      <w:numFmt w:val="bullet"/>
      <w:isLgl w:val="false"/>
      <w:suff w:val="tab"/>
      <w:lvlText w:val=""/>
      <w:lvlJc w:val="left"/>
      <w:pPr>
        <w:ind w:left="2520" w:hanging="360"/>
        <w:tabs>
          <w:tab w:val="num" w:pos="2520" w:leader="none"/>
        </w:tabs>
      </w:pPr>
      <w:rPr>
        <w:rFonts w:hint="default" w:ascii="Wingdings" w:hAnsi="Wingdings"/>
      </w:rPr>
    </w:lvl>
    <w:lvl w:ilvl="3">
      <w:start w:val="1"/>
      <w:numFmt w:val="bullet"/>
      <w:isLgl w:val="false"/>
      <w:suff w:val="tab"/>
      <w:lvlText w:val=""/>
      <w:lvlJc w:val="left"/>
      <w:pPr>
        <w:ind w:left="3240" w:hanging="360"/>
        <w:tabs>
          <w:tab w:val="num" w:pos="3240" w:leader="none"/>
        </w:tabs>
      </w:pPr>
      <w:rPr>
        <w:rFonts w:hint="default" w:ascii="Symbol" w:hAnsi="Symbol"/>
      </w:rPr>
    </w:lvl>
    <w:lvl w:ilvl="4">
      <w:start w:val="1"/>
      <w:numFmt w:val="bullet"/>
      <w:isLgl w:val="false"/>
      <w:suff w:val="tab"/>
      <w:lvlText w:val="o"/>
      <w:lvlJc w:val="left"/>
      <w:pPr>
        <w:ind w:left="3960" w:hanging="360"/>
        <w:tabs>
          <w:tab w:val="num" w:pos="3960" w:leader="none"/>
        </w:tabs>
      </w:pPr>
      <w:rPr>
        <w:rFonts w:hint="default" w:ascii="Courier New" w:hAnsi="Courier New" w:cs="Times New Roman"/>
      </w:rPr>
    </w:lvl>
    <w:lvl w:ilvl="5">
      <w:start w:val="1"/>
      <w:numFmt w:val="bullet"/>
      <w:isLgl w:val="false"/>
      <w:suff w:val="tab"/>
      <w:lvlText w:val=""/>
      <w:lvlJc w:val="left"/>
      <w:pPr>
        <w:ind w:left="4680" w:hanging="360"/>
        <w:tabs>
          <w:tab w:val="num" w:pos="4680" w:leader="none"/>
        </w:tabs>
      </w:pPr>
      <w:rPr>
        <w:rFonts w:hint="default" w:ascii="Wingdings" w:hAnsi="Wingdings"/>
      </w:rPr>
    </w:lvl>
    <w:lvl w:ilvl="6">
      <w:start w:val="1"/>
      <w:numFmt w:val="bullet"/>
      <w:isLgl w:val="false"/>
      <w:suff w:val="tab"/>
      <w:lvlText w:val=""/>
      <w:lvlJc w:val="left"/>
      <w:pPr>
        <w:ind w:left="5400" w:hanging="360"/>
        <w:tabs>
          <w:tab w:val="num" w:pos="5400" w:leader="none"/>
        </w:tabs>
      </w:pPr>
      <w:rPr>
        <w:rFonts w:hint="default" w:ascii="Symbol" w:hAnsi="Symbol"/>
      </w:rPr>
    </w:lvl>
    <w:lvl w:ilvl="7">
      <w:start w:val="1"/>
      <w:numFmt w:val="bullet"/>
      <w:isLgl w:val="false"/>
      <w:suff w:val="tab"/>
      <w:lvlText w:val="o"/>
      <w:lvlJc w:val="left"/>
      <w:pPr>
        <w:ind w:left="6120" w:hanging="360"/>
        <w:tabs>
          <w:tab w:val="num" w:pos="6120" w:leader="none"/>
        </w:tabs>
      </w:pPr>
      <w:rPr>
        <w:rFonts w:hint="default" w:ascii="Courier New" w:hAnsi="Courier New" w:cs="Times New Roman"/>
      </w:rPr>
    </w:lvl>
    <w:lvl w:ilvl="8">
      <w:start w:val="1"/>
      <w:numFmt w:val="bullet"/>
      <w:isLgl w:val="false"/>
      <w:suff w:val="tab"/>
      <w:lvlText w:val=""/>
      <w:lvlJc w:val="left"/>
      <w:pPr>
        <w:ind w:left="6840" w:hanging="360"/>
        <w:tabs>
          <w:tab w:val="num" w:pos="6840" w:leader="none"/>
        </w:tabs>
      </w:pPr>
      <w:rPr>
        <w:rFonts w:hint="default" w:ascii="Wingdings" w:hAnsi="Wingdings"/>
      </w:rPr>
    </w:lvl>
  </w:abstractNum>
  <w:abstractNum w:abstractNumId="25">
    <w:multiLevelType w:val="hybridMultilevel"/>
    <w:lvl w:ilvl="0">
      <w:start w:val="1"/>
      <w:numFmt w:val="decimal"/>
      <w:isLgl w:val="false"/>
      <w:suff w:val="tab"/>
      <w:lvlText w:val="Форма № %1"/>
      <w:lvlJc w:val="left"/>
      <w:pPr>
        <w:ind w:left="720" w:hanging="360"/>
        <w:tabs>
          <w:tab w:val="num" w:pos="0" w:leader="none"/>
        </w:tabs>
      </w:p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26">
    <w:multiLevelType w:val="hybridMultilevel"/>
    <w:lvl w:ilvl="0">
      <w:start w:val="1"/>
      <w:numFmt w:val="bullet"/>
      <w:isLgl/>
      <w:suff w:val="tab"/>
      <w:lvlText w:val=""/>
      <w:lvlJc w:val="left"/>
      <w:pPr>
        <w:ind w:left="754" w:hanging="360"/>
        <w:tabs>
          <w:tab w:val="num" w:pos="0" w:leader="none"/>
        </w:tabs>
      </w:pPr>
      <w:rPr>
        <w:rFonts w:hint="default" w:ascii="Symbol" w:hAnsi="Symbol" w:cs="Symbol"/>
      </w:rPr>
    </w:lvl>
    <w:lvl w:ilvl="1">
      <w:start w:val="1"/>
      <w:numFmt w:val="bullet"/>
      <w:isLgl/>
      <w:suff w:val="tab"/>
      <w:lvlText w:val="o"/>
      <w:lvlJc w:val="left"/>
      <w:pPr>
        <w:ind w:left="1474" w:hanging="360"/>
        <w:tabs>
          <w:tab w:val="num" w:pos="0" w:leader="none"/>
        </w:tabs>
      </w:pPr>
      <w:rPr>
        <w:rFonts w:hint="default" w:ascii="Courier New" w:hAnsi="Courier New" w:cs="Courier New"/>
      </w:rPr>
    </w:lvl>
    <w:lvl w:ilvl="2">
      <w:start w:val="1"/>
      <w:numFmt w:val="bullet"/>
      <w:isLgl/>
      <w:suff w:val="tab"/>
      <w:lvlText w:val=""/>
      <w:lvlJc w:val="left"/>
      <w:pPr>
        <w:ind w:left="2194" w:hanging="360"/>
        <w:tabs>
          <w:tab w:val="num" w:pos="0" w:leader="none"/>
        </w:tabs>
      </w:pPr>
      <w:rPr>
        <w:rFonts w:hint="default" w:ascii="Wingdings" w:hAnsi="Wingdings" w:cs="Wingdings"/>
      </w:rPr>
    </w:lvl>
    <w:lvl w:ilvl="3">
      <w:start w:val="1"/>
      <w:numFmt w:val="bullet"/>
      <w:isLgl/>
      <w:suff w:val="tab"/>
      <w:lvlText w:val=""/>
      <w:lvlJc w:val="left"/>
      <w:pPr>
        <w:ind w:left="2914" w:hanging="360"/>
        <w:tabs>
          <w:tab w:val="num" w:pos="0" w:leader="none"/>
        </w:tabs>
      </w:pPr>
      <w:rPr>
        <w:rFonts w:hint="default" w:ascii="Symbol" w:hAnsi="Symbol" w:cs="Symbol"/>
      </w:rPr>
    </w:lvl>
    <w:lvl w:ilvl="4">
      <w:start w:val="1"/>
      <w:numFmt w:val="bullet"/>
      <w:isLgl/>
      <w:suff w:val="tab"/>
      <w:lvlText w:val="o"/>
      <w:lvlJc w:val="left"/>
      <w:pPr>
        <w:ind w:left="3634" w:hanging="360"/>
        <w:tabs>
          <w:tab w:val="num" w:pos="0" w:leader="none"/>
        </w:tabs>
      </w:pPr>
      <w:rPr>
        <w:rFonts w:hint="default" w:ascii="Courier New" w:hAnsi="Courier New" w:cs="Courier New"/>
      </w:rPr>
    </w:lvl>
    <w:lvl w:ilvl="5">
      <w:start w:val="1"/>
      <w:numFmt w:val="bullet"/>
      <w:isLgl/>
      <w:suff w:val="tab"/>
      <w:lvlText w:val=""/>
      <w:lvlJc w:val="left"/>
      <w:pPr>
        <w:ind w:left="4354" w:hanging="360"/>
        <w:tabs>
          <w:tab w:val="num" w:pos="0" w:leader="none"/>
        </w:tabs>
      </w:pPr>
      <w:rPr>
        <w:rFonts w:hint="default" w:ascii="Wingdings" w:hAnsi="Wingdings" w:cs="Wingdings"/>
      </w:rPr>
    </w:lvl>
    <w:lvl w:ilvl="6">
      <w:start w:val="1"/>
      <w:numFmt w:val="bullet"/>
      <w:isLgl/>
      <w:suff w:val="tab"/>
      <w:lvlText w:val=""/>
      <w:lvlJc w:val="left"/>
      <w:pPr>
        <w:ind w:left="5074" w:hanging="360"/>
        <w:tabs>
          <w:tab w:val="num" w:pos="0" w:leader="none"/>
        </w:tabs>
      </w:pPr>
      <w:rPr>
        <w:rFonts w:hint="default" w:ascii="Symbol" w:hAnsi="Symbol" w:cs="Symbol"/>
      </w:rPr>
    </w:lvl>
    <w:lvl w:ilvl="7">
      <w:start w:val="1"/>
      <w:numFmt w:val="bullet"/>
      <w:isLgl/>
      <w:suff w:val="tab"/>
      <w:lvlText w:val="o"/>
      <w:lvlJc w:val="left"/>
      <w:pPr>
        <w:ind w:left="5794" w:hanging="360"/>
        <w:tabs>
          <w:tab w:val="num" w:pos="0" w:leader="none"/>
        </w:tabs>
      </w:pPr>
      <w:rPr>
        <w:rFonts w:hint="default" w:ascii="Courier New" w:hAnsi="Courier New" w:cs="Courier New"/>
      </w:rPr>
    </w:lvl>
    <w:lvl w:ilvl="8">
      <w:start w:val="1"/>
      <w:numFmt w:val="bullet"/>
      <w:isLgl/>
      <w:suff w:val="tab"/>
      <w:lvlText w:val=""/>
      <w:lvlJc w:val="left"/>
      <w:pPr>
        <w:ind w:left="6514" w:hanging="360"/>
        <w:tabs>
          <w:tab w:val="num" w:pos="0" w:leader="none"/>
        </w:tabs>
      </w:pPr>
      <w:rPr>
        <w:rFonts w:hint="default" w:ascii="Wingdings" w:hAnsi="Wingdings" w:cs="Wingdings"/>
      </w:rPr>
    </w:lvl>
  </w:abstractNum>
  <w:abstractNum w:abstractNumId="27">
    <w:multiLevelType w:val="hybridMultilevel"/>
    <w:lvl w:ilvl="0">
      <w:start w:val="1"/>
      <w:numFmt w:val="russianLower"/>
      <w:isLgl/>
      <w:suff w:val="tab"/>
      <w:lvlText w:val="%1)"/>
      <w:lvlJc w:val="left"/>
      <w:pPr>
        <w:ind w:left="754" w:hanging="360"/>
        <w:tabs>
          <w:tab w:val="num" w:pos="0" w:leader="none"/>
        </w:tabs>
      </w:pPr>
      <w:rPr>
        <w:rFonts w:cs="Times New Roman"/>
      </w:rPr>
    </w:lvl>
    <w:lvl w:ilvl="1">
      <w:start w:val="1"/>
      <w:numFmt w:val="lowerLetter"/>
      <w:isLgl/>
      <w:suff w:val="tab"/>
      <w:lvlText w:val="%2."/>
      <w:lvlJc w:val="left"/>
      <w:pPr>
        <w:ind w:left="1474" w:hanging="360"/>
        <w:tabs>
          <w:tab w:val="num" w:pos="0" w:leader="none"/>
        </w:tabs>
      </w:pPr>
    </w:lvl>
    <w:lvl w:ilvl="2">
      <w:start w:val="1"/>
      <w:numFmt w:val="lowerRoman"/>
      <w:isLgl/>
      <w:suff w:val="tab"/>
      <w:lvlText w:val="%3."/>
      <w:lvlJc w:val="right"/>
      <w:pPr>
        <w:ind w:left="2194" w:hanging="180"/>
        <w:tabs>
          <w:tab w:val="num" w:pos="0" w:leader="none"/>
        </w:tabs>
      </w:pPr>
    </w:lvl>
    <w:lvl w:ilvl="3">
      <w:start w:val="1"/>
      <w:numFmt w:val="decimal"/>
      <w:isLgl/>
      <w:suff w:val="tab"/>
      <w:lvlText w:val="%4."/>
      <w:lvlJc w:val="left"/>
      <w:pPr>
        <w:ind w:left="2914" w:hanging="360"/>
        <w:tabs>
          <w:tab w:val="num" w:pos="0" w:leader="none"/>
        </w:tabs>
      </w:pPr>
    </w:lvl>
    <w:lvl w:ilvl="4">
      <w:start w:val="1"/>
      <w:numFmt w:val="lowerLetter"/>
      <w:isLgl/>
      <w:suff w:val="tab"/>
      <w:lvlText w:val="%5."/>
      <w:lvlJc w:val="left"/>
      <w:pPr>
        <w:ind w:left="3634" w:hanging="360"/>
        <w:tabs>
          <w:tab w:val="num" w:pos="0" w:leader="none"/>
        </w:tabs>
      </w:pPr>
    </w:lvl>
    <w:lvl w:ilvl="5">
      <w:start w:val="1"/>
      <w:numFmt w:val="lowerRoman"/>
      <w:isLgl/>
      <w:suff w:val="tab"/>
      <w:lvlText w:val="%6."/>
      <w:lvlJc w:val="right"/>
      <w:pPr>
        <w:ind w:left="4354" w:hanging="180"/>
        <w:tabs>
          <w:tab w:val="num" w:pos="0" w:leader="none"/>
        </w:tabs>
      </w:pPr>
    </w:lvl>
    <w:lvl w:ilvl="6">
      <w:start w:val="1"/>
      <w:numFmt w:val="decimal"/>
      <w:isLgl/>
      <w:suff w:val="tab"/>
      <w:lvlText w:val="%7."/>
      <w:lvlJc w:val="left"/>
      <w:pPr>
        <w:ind w:left="5074" w:hanging="360"/>
        <w:tabs>
          <w:tab w:val="num" w:pos="0" w:leader="none"/>
        </w:tabs>
      </w:pPr>
    </w:lvl>
    <w:lvl w:ilvl="7">
      <w:start w:val="1"/>
      <w:numFmt w:val="lowerLetter"/>
      <w:isLgl/>
      <w:suff w:val="tab"/>
      <w:lvlText w:val="%8."/>
      <w:lvlJc w:val="left"/>
      <w:pPr>
        <w:ind w:left="5794" w:hanging="360"/>
        <w:tabs>
          <w:tab w:val="num" w:pos="0" w:leader="none"/>
        </w:tabs>
      </w:pPr>
    </w:lvl>
    <w:lvl w:ilvl="8">
      <w:start w:val="1"/>
      <w:numFmt w:val="lowerRoman"/>
      <w:isLgl/>
      <w:suff w:val="tab"/>
      <w:lvlText w:val="%9."/>
      <w:lvlJc w:val="right"/>
      <w:pPr>
        <w:ind w:left="6514" w:hanging="180"/>
        <w:tabs>
          <w:tab w:val="num" w:pos="0" w:leader="none"/>
        </w:tabs>
      </w:pPr>
    </w:lvl>
  </w:abstractNum>
  <w:abstractNum w:abstractNumId="28">
    <w:multiLevelType w:val="hybridMultilevel"/>
    <w:lvl w:ilvl="0">
      <w:start w:val="1"/>
      <w:numFmt w:val="decimal"/>
      <w:isLgl/>
      <w:suff w:val="tab"/>
      <w:lvlText w:val="%1."/>
      <w:lvlJc w:val="left"/>
      <w:pPr>
        <w:ind w:left="720" w:hanging="360"/>
        <w:tabs>
          <w:tab w:val="num" w:pos="0" w:leader="none"/>
        </w:tabs>
      </w:pPr>
    </w:lvl>
    <w:lvl w:ilvl="1">
      <w:start w:val="1"/>
      <w:numFmt w:val="lowerLetter"/>
      <w:isLgl/>
      <w:suff w:val="tab"/>
      <w:lvlText w:val="%2."/>
      <w:lvlJc w:val="left"/>
      <w:pPr>
        <w:ind w:left="1440" w:hanging="360"/>
        <w:tabs>
          <w:tab w:val="num" w:pos="0" w:leader="none"/>
        </w:tabs>
      </w:pPr>
    </w:lvl>
    <w:lvl w:ilvl="2">
      <w:start w:val="1"/>
      <w:numFmt w:val="lowerRoman"/>
      <w:isLgl/>
      <w:suff w:val="tab"/>
      <w:lvlText w:val="%3."/>
      <w:lvlJc w:val="right"/>
      <w:pPr>
        <w:ind w:left="2160" w:hanging="180"/>
        <w:tabs>
          <w:tab w:val="num" w:pos="0" w:leader="none"/>
        </w:tabs>
      </w:pPr>
    </w:lvl>
    <w:lvl w:ilvl="3">
      <w:start w:val="1"/>
      <w:numFmt w:val="decimal"/>
      <w:isLgl/>
      <w:suff w:val="tab"/>
      <w:lvlText w:val="%4."/>
      <w:lvlJc w:val="left"/>
      <w:pPr>
        <w:ind w:left="2880" w:hanging="360"/>
        <w:tabs>
          <w:tab w:val="num" w:pos="0" w:leader="none"/>
        </w:tabs>
      </w:pPr>
    </w:lvl>
    <w:lvl w:ilvl="4">
      <w:start w:val="1"/>
      <w:numFmt w:val="lowerLetter"/>
      <w:isLgl/>
      <w:suff w:val="tab"/>
      <w:lvlText w:val="%5."/>
      <w:lvlJc w:val="left"/>
      <w:pPr>
        <w:ind w:left="3600" w:hanging="360"/>
        <w:tabs>
          <w:tab w:val="num" w:pos="0" w:leader="none"/>
        </w:tabs>
      </w:pPr>
    </w:lvl>
    <w:lvl w:ilvl="5">
      <w:start w:val="1"/>
      <w:numFmt w:val="lowerRoman"/>
      <w:isLgl/>
      <w:suff w:val="tab"/>
      <w:lvlText w:val="%6."/>
      <w:lvlJc w:val="right"/>
      <w:pPr>
        <w:ind w:left="4320" w:hanging="180"/>
        <w:tabs>
          <w:tab w:val="num" w:pos="0" w:leader="none"/>
        </w:tabs>
      </w:pPr>
    </w:lvl>
    <w:lvl w:ilvl="6">
      <w:start w:val="1"/>
      <w:numFmt w:val="decimal"/>
      <w:isLgl/>
      <w:suff w:val="tab"/>
      <w:lvlText w:val="%7."/>
      <w:lvlJc w:val="left"/>
      <w:pPr>
        <w:ind w:left="5040" w:hanging="360"/>
        <w:tabs>
          <w:tab w:val="num" w:pos="0" w:leader="none"/>
        </w:tabs>
      </w:pPr>
    </w:lvl>
    <w:lvl w:ilvl="7">
      <w:start w:val="1"/>
      <w:numFmt w:val="lowerLetter"/>
      <w:isLgl/>
      <w:suff w:val="tab"/>
      <w:lvlText w:val="%8."/>
      <w:lvlJc w:val="left"/>
      <w:pPr>
        <w:ind w:left="5760" w:hanging="360"/>
        <w:tabs>
          <w:tab w:val="num" w:pos="0" w:leader="none"/>
        </w:tabs>
      </w:pPr>
    </w:lvl>
    <w:lvl w:ilvl="8">
      <w:start w:val="1"/>
      <w:numFmt w:val="lowerRoman"/>
      <w:isLgl/>
      <w:suff w:val="tab"/>
      <w:lvlText w:val="%9."/>
      <w:lvlJc w:val="right"/>
      <w:pPr>
        <w:ind w:left="6480" w:hanging="180"/>
        <w:tabs>
          <w:tab w:val="num" w:pos="0" w:leader="none"/>
        </w:tabs>
      </w:pPr>
    </w:lvl>
  </w:abstractNum>
  <w:abstractNum w:abstractNumId="29">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30">
    <w:multiLevelType w:val="hybridMultilevel"/>
    <w:lvl w:ilvl="0">
      <w:start w:val="1"/>
      <w:numFmt w:val="decimal"/>
      <w:isLgl/>
      <w:suff w:val="tab"/>
      <w:lvlText w:val="%1."/>
      <w:lvlJc w:val="left"/>
      <w:pPr>
        <w:ind w:left="360" w:hanging="360"/>
        <w:tabs>
          <w:tab w:val="num" w:pos="0" w:leader="none"/>
        </w:tabs>
      </w:pPr>
    </w:lvl>
    <w:lvl w:ilvl="1">
      <w:start w:val="1"/>
      <w:numFmt w:val="decimal"/>
      <w:isLgl/>
      <w:suff w:val="tab"/>
      <w:lvlText w:val="%1.%2."/>
      <w:lvlJc w:val="left"/>
      <w:pPr>
        <w:ind w:left="682" w:hanging="360"/>
        <w:tabs>
          <w:tab w:val="num" w:pos="0" w:leader="none"/>
        </w:tabs>
      </w:pPr>
    </w:lvl>
    <w:lvl w:ilvl="2">
      <w:start w:val="1"/>
      <w:numFmt w:val="decimal"/>
      <w:isLgl/>
      <w:suff w:val="tab"/>
      <w:lvlText w:val="%1.%2.%3."/>
      <w:lvlJc w:val="left"/>
      <w:pPr>
        <w:ind w:left="1364" w:hanging="720"/>
        <w:tabs>
          <w:tab w:val="num" w:pos="0" w:leader="none"/>
        </w:tabs>
      </w:pPr>
    </w:lvl>
    <w:lvl w:ilvl="3">
      <w:start w:val="1"/>
      <w:numFmt w:val="decimal"/>
      <w:isLgl/>
      <w:suff w:val="tab"/>
      <w:lvlText w:val="%1.%2.%3.%4."/>
      <w:lvlJc w:val="left"/>
      <w:pPr>
        <w:ind w:left="1686" w:hanging="720"/>
        <w:tabs>
          <w:tab w:val="num" w:pos="0" w:leader="none"/>
        </w:tabs>
      </w:pPr>
    </w:lvl>
    <w:lvl w:ilvl="4">
      <w:start w:val="1"/>
      <w:numFmt w:val="decimal"/>
      <w:isLgl/>
      <w:suff w:val="tab"/>
      <w:lvlText w:val="%1.%2.%3.%4.%5."/>
      <w:lvlJc w:val="left"/>
      <w:pPr>
        <w:ind w:left="2368" w:hanging="1080"/>
        <w:tabs>
          <w:tab w:val="num" w:pos="0" w:leader="none"/>
        </w:tabs>
      </w:pPr>
    </w:lvl>
    <w:lvl w:ilvl="5">
      <w:start w:val="1"/>
      <w:numFmt w:val="decimal"/>
      <w:isLgl/>
      <w:suff w:val="tab"/>
      <w:lvlText w:val="%1.%2.%3.%4.%5.%6."/>
      <w:lvlJc w:val="left"/>
      <w:pPr>
        <w:ind w:left="2690" w:hanging="1080"/>
        <w:tabs>
          <w:tab w:val="num" w:pos="0" w:leader="none"/>
        </w:tabs>
      </w:pPr>
    </w:lvl>
    <w:lvl w:ilvl="6">
      <w:start w:val="1"/>
      <w:numFmt w:val="decimal"/>
      <w:isLgl/>
      <w:suff w:val="tab"/>
      <w:lvlText w:val="%1.%2.%3.%4.%5.%6.%7."/>
      <w:lvlJc w:val="left"/>
      <w:pPr>
        <w:ind w:left="3012" w:hanging="1080"/>
        <w:tabs>
          <w:tab w:val="num" w:pos="0" w:leader="none"/>
        </w:tabs>
      </w:pPr>
    </w:lvl>
    <w:lvl w:ilvl="7">
      <w:start w:val="1"/>
      <w:numFmt w:val="decimal"/>
      <w:isLgl/>
      <w:suff w:val="tab"/>
      <w:lvlText w:val="%1.%2.%3.%4.%5.%6.%7.%8."/>
      <w:lvlJc w:val="left"/>
      <w:pPr>
        <w:ind w:left="3694" w:hanging="1440"/>
        <w:tabs>
          <w:tab w:val="num" w:pos="0" w:leader="none"/>
        </w:tabs>
      </w:pPr>
    </w:lvl>
    <w:lvl w:ilvl="8">
      <w:start w:val="1"/>
      <w:numFmt w:val="decimal"/>
      <w:isLgl/>
      <w:suff w:val="tab"/>
      <w:lvlText w:val="%1.%2.%3.%4.%5.%6.%7.%8.%9."/>
      <w:lvlJc w:val="left"/>
      <w:pPr>
        <w:ind w:left="4016" w:hanging="1440"/>
        <w:tabs>
          <w:tab w:val="num" w:pos="0" w:leader="none"/>
        </w:tabs>
      </w:pPr>
    </w:lvl>
  </w:abstractNum>
  <w:abstractNum w:abstractNumId="31">
    <w:multiLevelType w:val="hybridMultilevel"/>
    <w:lvl w:ilvl="0">
      <w:start w:val="1"/>
      <w:numFmt w:val="upperRoman"/>
      <w:isLgl/>
      <w:suff w:val="tab"/>
      <w:lvlText w:val="ЧАСТЬ %1."/>
      <w:lvlJc w:val="left"/>
      <w:pPr>
        <w:ind w:left="720" w:hanging="720"/>
        <w:tabs>
          <w:tab w:val="num" w:pos="2160" w:leader="none"/>
        </w:tabs>
      </w:pPr>
      <w:rPr>
        <w:sz w:val="40"/>
        <w:szCs w:val="40"/>
      </w:rPr>
    </w:lvl>
    <w:lvl w:ilvl="1">
      <w:start w:val="1"/>
      <w:numFmt w:val="decimal"/>
      <w:pStyle w:val="1265"/>
      <w:isLgl/>
      <w:suff w:val="tab"/>
      <w:lvlText w:val="РАЗДЕЛ %1.%2"/>
      <w:lvlJc w:val="left"/>
      <w:pPr>
        <w:ind w:left="720" w:hanging="720"/>
        <w:tabs>
          <w:tab w:val="num" w:pos="1440" w:leader="none"/>
        </w:tabs>
      </w:pPr>
    </w:lvl>
    <w:lvl w:ilvl="2">
      <w:start w:val="1"/>
      <w:numFmt w:val="decimal"/>
      <w:isLgl/>
      <w:suff w:val="tab"/>
      <w:lvlText w:val="%1.%2.%3"/>
      <w:lvlJc w:val="left"/>
      <w:pPr>
        <w:ind w:left="720" w:hanging="720"/>
        <w:tabs>
          <w:tab w:val="num" w:pos="720" w:leader="none"/>
        </w:tabs>
      </w:pPr>
    </w:lvl>
    <w:lvl w:ilvl="3">
      <w:start w:val="1"/>
      <w:numFmt w:val="decimal"/>
      <w:isLgl/>
      <w:suff w:val="tab"/>
      <w:lvlText w:val="%1.%2.%3.%4"/>
      <w:lvlJc w:val="left"/>
      <w:pPr>
        <w:ind w:left="720" w:hanging="720"/>
        <w:tabs>
          <w:tab w:val="num" w:pos="720" w:leader="none"/>
        </w:tabs>
      </w:pPr>
    </w:lvl>
    <w:lvl w:ilvl="4">
      <w:start w:val="1"/>
      <w:numFmt w:val="decimal"/>
      <w:isLgl/>
      <w:suff w:val="tab"/>
      <w:lvlText w:val="%1.%2.%3.%4.%5"/>
      <w:lvlJc w:val="left"/>
      <w:pPr>
        <w:ind w:left="1080" w:hanging="1080"/>
        <w:tabs>
          <w:tab w:val="num" w:pos="1080" w:leader="none"/>
        </w:tabs>
      </w:pPr>
    </w:lvl>
    <w:lvl w:ilvl="5">
      <w:start w:val="1"/>
      <w:numFmt w:val="decimal"/>
      <w:isLgl/>
      <w:suff w:val="tab"/>
      <w:lvlText w:val="%1.%2.%3.%4.%5.%6"/>
      <w:lvlJc w:val="left"/>
      <w:pPr>
        <w:ind w:left="1080" w:hanging="1080"/>
        <w:tabs>
          <w:tab w:val="num" w:pos="1080" w:leader="none"/>
        </w:tabs>
      </w:pPr>
    </w:lvl>
    <w:lvl w:ilvl="6">
      <w:start w:val="1"/>
      <w:numFmt w:val="decimal"/>
      <w:isLgl/>
      <w:suff w:val="tab"/>
      <w:lvlText w:val="%1.%2.%3.%4.%5.%6.%7"/>
      <w:lvlJc w:val="left"/>
      <w:pPr>
        <w:ind w:left="1440" w:hanging="1440"/>
        <w:tabs>
          <w:tab w:val="num" w:pos="1440"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800" w:hanging="1800"/>
        <w:tabs>
          <w:tab w:val="num" w:pos="1800" w:leader="none"/>
        </w:tabs>
      </w:pPr>
    </w:lvl>
  </w:abstractNum>
  <w:abstractNum w:abstractNumId="32">
    <w:multiLevelType w:val="hybridMultilevel"/>
    <w:lvl w:ilvl="0">
      <w:start w:val="1"/>
      <w:numFmt w:val="russianLower"/>
      <w:isLgl w:val="false"/>
      <w:suff w:val="tab"/>
      <w:lvlText w:val="%1)"/>
      <w:lvlJc w:val="left"/>
      <w:pPr>
        <w:ind w:left="1103" w:hanging="360"/>
        <w:tabs>
          <w:tab w:val="num" w:pos="0" w:leader="none"/>
        </w:tabs>
      </w:pPr>
      <w:rPr>
        <w:rFonts w:cs="Times New Roman"/>
        <w:sz w:val="20"/>
        <w:szCs w:val="20"/>
      </w:rPr>
    </w:lvl>
    <w:lvl w:ilvl="1">
      <w:start w:val="1"/>
      <w:numFmt w:val="lowerLetter"/>
      <w:isLgl/>
      <w:suff w:val="tab"/>
      <w:lvlText w:val="%2."/>
      <w:lvlJc w:val="left"/>
      <w:pPr>
        <w:ind w:left="1823" w:hanging="360"/>
        <w:tabs>
          <w:tab w:val="num" w:pos="0" w:leader="none"/>
        </w:tabs>
      </w:pPr>
    </w:lvl>
    <w:lvl w:ilvl="2">
      <w:start w:val="1"/>
      <w:numFmt w:val="lowerRoman"/>
      <w:isLgl/>
      <w:suff w:val="tab"/>
      <w:lvlText w:val="%3."/>
      <w:lvlJc w:val="right"/>
      <w:pPr>
        <w:ind w:left="2543" w:hanging="180"/>
        <w:tabs>
          <w:tab w:val="num" w:pos="0" w:leader="none"/>
        </w:tabs>
      </w:pPr>
    </w:lvl>
    <w:lvl w:ilvl="3">
      <w:start w:val="1"/>
      <w:numFmt w:val="decimal"/>
      <w:isLgl/>
      <w:suff w:val="tab"/>
      <w:lvlText w:val="%4."/>
      <w:lvlJc w:val="left"/>
      <w:pPr>
        <w:ind w:left="3263" w:hanging="360"/>
        <w:tabs>
          <w:tab w:val="num" w:pos="0" w:leader="none"/>
        </w:tabs>
      </w:pPr>
    </w:lvl>
    <w:lvl w:ilvl="4">
      <w:start w:val="1"/>
      <w:numFmt w:val="lowerLetter"/>
      <w:isLgl/>
      <w:suff w:val="tab"/>
      <w:lvlText w:val="%5."/>
      <w:lvlJc w:val="left"/>
      <w:pPr>
        <w:ind w:left="3983" w:hanging="360"/>
        <w:tabs>
          <w:tab w:val="num" w:pos="0" w:leader="none"/>
        </w:tabs>
      </w:pPr>
    </w:lvl>
    <w:lvl w:ilvl="5">
      <w:start w:val="1"/>
      <w:numFmt w:val="lowerRoman"/>
      <w:isLgl/>
      <w:suff w:val="tab"/>
      <w:lvlText w:val="%6."/>
      <w:lvlJc w:val="right"/>
      <w:pPr>
        <w:ind w:left="4703" w:hanging="180"/>
        <w:tabs>
          <w:tab w:val="num" w:pos="0" w:leader="none"/>
        </w:tabs>
      </w:pPr>
    </w:lvl>
    <w:lvl w:ilvl="6">
      <w:start w:val="1"/>
      <w:numFmt w:val="decimal"/>
      <w:isLgl/>
      <w:suff w:val="tab"/>
      <w:lvlText w:val="%7."/>
      <w:lvlJc w:val="left"/>
      <w:pPr>
        <w:ind w:left="5423" w:hanging="360"/>
        <w:tabs>
          <w:tab w:val="num" w:pos="0" w:leader="none"/>
        </w:tabs>
      </w:pPr>
    </w:lvl>
    <w:lvl w:ilvl="7">
      <w:start w:val="1"/>
      <w:numFmt w:val="lowerLetter"/>
      <w:isLgl/>
      <w:suff w:val="tab"/>
      <w:lvlText w:val="%8."/>
      <w:lvlJc w:val="left"/>
      <w:pPr>
        <w:ind w:left="6143" w:hanging="360"/>
        <w:tabs>
          <w:tab w:val="num" w:pos="0" w:leader="none"/>
        </w:tabs>
      </w:pPr>
    </w:lvl>
    <w:lvl w:ilvl="8">
      <w:start w:val="1"/>
      <w:numFmt w:val="lowerRoman"/>
      <w:isLgl/>
      <w:suff w:val="tab"/>
      <w:lvlText w:val="%9."/>
      <w:lvlJc w:val="right"/>
      <w:pPr>
        <w:ind w:left="6863" w:hanging="180"/>
        <w:tabs>
          <w:tab w:val="num" w:pos="0" w:leader="none"/>
        </w:tabs>
      </w:pPr>
    </w:lvl>
  </w:abstractNum>
  <w:abstractNum w:abstractNumId="33">
    <w:multiLevelType w:val="hybridMultilevel"/>
    <w:lvl w:ilvl="0">
      <w:start w:val="1"/>
      <w:numFmt w:val="decimal"/>
      <w:isLgl/>
      <w:suff w:val="tab"/>
      <w:lvlText w:val="%1."/>
      <w:lvlJc w:val="left"/>
      <w:pPr>
        <w:ind w:left="432" w:hanging="432"/>
        <w:tabs>
          <w:tab w:val="num" w:pos="432" w:leader="none"/>
        </w:tabs>
      </w:pPr>
      <w:rPr>
        <w:rFonts w:ascii="Times New Roman" w:hAnsi="Times New Roman" w:cs="Times New Roman"/>
        <w:sz w:val="24"/>
        <w:szCs w:val="24"/>
      </w:rPr>
    </w:lvl>
    <w:lvl w:ilvl="1">
      <w:start w:val="1"/>
      <w:numFmt w:val="decimal"/>
      <w:isLgl/>
      <w:suff w:val="tab"/>
      <w:lvlText w:val="%1.%2."/>
      <w:lvlJc w:val="left"/>
      <w:pPr>
        <w:ind w:left="576" w:hanging="576"/>
        <w:tabs>
          <w:tab w:val="num" w:pos="576" w:leader="none"/>
        </w:tabs>
      </w:pPr>
      <w:rPr>
        <w:b/>
        <w:sz w:val="24"/>
        <w:szCs w:val="24"/>
      </w:rPr>
    </w:lvl>
    <w:lvl w:ilvl="2">
      <w:start w:val="1"/>
      <w:numFmt w:val="decimal"/>
      <w:isLgl/>
      <w:suff w:val="tab"/>
      <w:lvlText w:val="%1.%2.%3."/>
      <w:lvlJc w:val="left"/>
      <w:pPr>
        <w:ind w:left="0" w:firstLine="0"/>
        <w:tabs>
          <w:tab w:val="num" w:pos="170" w:leader="none"/>
        </w:tabs>
      </w:pPr>
      <w:rPr>
        <w:rFonts w:ascii="Times New Roman" w:hAnsi="Times New Roman" w:cs="Times New Roman"/>
        <w:b w:val="0"/>
        <w:bCs w:val="0"/>
        <w:i w:val="0"/>
        <w:iCs w:val="0"/>
        <w:sz w:val="24"/>
        <w:szCs w:val="24"/>
      </w:rPr>
    </w:lvl>
    <w:lvl w:ilvl="3">
      <w:start w:val="1"/>
      <w:numFmt w:val="decimal"/>
      <w:isLgl/>
      <w:suff w:val="tab"/>
      <w:lvlText w:val="%1.%2.%3.%4."/>
      <w:lvlJc w:val="left"/>
      <w:pPr>
        <w:ind w:left="1290" w:hanging="864"/>
        <w:tabs>
          <w:tab w:val="num" w:pos="1290" w:leader="none"/>
        </w:tabs>
      </w:pPr>
      <w:rPr>
        <w:rFonts w:ascii="Times New Roman" w:hAnsi="Times New Roman" w:cs="Times New Roman"/>
        <w:sz w:val="24"/>
        <w:szCs w:val="24"/>
      </w:rPr>
    </w:lvl>
    <w:lvl w:ilvl="4">
      <w:start w:val="1"/>
      <w:numFmt w:val="russianLower"/>
      <w:isLgl/>
      <w:suff w:val="tab"/>
      <w:lvlText w:val="%5)"/>
      <w:lvlJc w:val="left"/>
      <w:pPr>
        <w:ind w:left="928" w:hanging="360"/>
        <w:tabs>
          <w:tab w:val="num" w:pos="928" w:leader="none"/>
        </w:tabs>
      </w:pPr>
      <w:rPr>
        <w:rFonts w:ascii="Times New Roman" w:hAnsi="Times New Roman" w:cs="Times New Roman"/>
        <w:b w:val="0"/>
        <w:i w:val="0"/>
        <w:sz w:val="24"/>
        <w:szCs w:val="24"/>
      </w:rPr>
    </w:lvl>
    <w:lvl w:ilvl="5">
      <w:start w:val="1"/>
      <w:numFmt w:val="decimal"/>
      <w:isLgl/>
      <w:suff w:val="tab"/>
      <w:lvlText w:val="%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34">
    <w:multiLevelType w:val="hybridMultilevel"/>
    <w:lvl w:ilvl="0">
      <w:start w:val="1"/>
      <w:numFmt w:val="russianLower"/>
      <w:isLgl w:val="false"/>
      <w:suff w:val="tab"/>
      <w:lvlText w:val="%1)"/>
      <w:lvlJc w:val="left"/>
      <w:pPr>
        <w:ind w:left="1080" w:hanging="360"/>
        <w:tabs>
          <w:tab w:val="num" w:pos="0" w:leader="none"/>
        </w:tabs>
      </w:pPr>
      <w:rPr>
        <w:rFonts w:cs="Times New Roman"/>
      </w:rPr>
    </w:lvl>
    <w:lvl w:ilvl="1">
      <w:start w:val="1"/>
      <w:numFmt w:val="lowerLetter"/>
      <w:isLgl/>
      <w:suff w:val="tab"/>
      <w:lvlText w:val="%2."/>
      <w:lvlJc w:val="left"/>
      <w:pPr>
        <w:ind w:left="1800" w:hanging="360"/>
        <w:tabs>
          <w:tab w:val="num" w:pos="0" w:leader="none"/>
        </w:tabs>
      </w:pPr>
    </w:lvl>
    <w:lvl w:ilvl="2">
      <w:start w:val="1"/>
      <w:numFmt w:val="lowerRoman"/>
      <w:isLgl/>
      <w:suff w:val="tab"/>
      <w:lvlText w:val="%3."/>
      <w:lvlJc w:val="right"/>
      <w:pPr>
        <w:ind w:left="2520" w:hanging="180"/>
        <w:tabs>
          <w:tab w:val="num" w:pos="0" w:leader="none"/>
        </w:tabs>
      </w:pPr>
    </w:lvl>
    <w:lvl w:ilvl="3">
      <w:start w:val="1"/>
      <w:numFmt w:val="decimal"/>
      <w:isLgl/>
      <w:suff w:val="tab"/>
      <w:lvlText w:val="%4."/>
      <w:lvlJc w:val="left"/>
      <w:pPr>
        <w:ind w:left="3240" w:hanging="360"/>
        <w:tabs>
          <w:tab w:val="num" w:pos="0" w:leader="none"/>
        </w:tabs>
      </w:pPr>
    </w:lvl>
    <w:lvl w:ilvl="4">
      <w:start w:val="1"/>
      <w:numFmt w:val="lowerLetter"/>
      <w:isLgl/>
      <w:suff w:val="tab"/>
      <w:lvlText w:val="%5."/>
      <w:lvlJc w:val="left"/>
      <w:pPr>
        <w:ind w:left="3960" w:hanging="360"/>
        <w:tabs>
          <w:tab w:val="num" w:pos="0" w:leader="none"/>
        </w:tabs>
      </w:pPr>
    </w:lvl>
    <w:lvl w:ilvl="5">
      <w:start w:val="1"/>
      <w:numFmt w:val="lowerRoman"/>
      <w:isLgl/>
      <w:suff w:val="tab"/>
      <w:lvlText w:val="%6."/>
      <w:lvlJc w:val="right"/>
      <w:pPr>
        <w:ind w:left="4680" w:hanging="180"/>
        <w:tabs>
          <w:tab w:val="num" w:pos="0" w:leader="none"/>
        </w:tabs>
      </w:pPr>
    </w:lvl>
    <w:lvl w:ilvl="6">
      <w:start w:val="1"/>
      <w:numFmt w:val="decimal"/>
      <w:isLgl/>
      <w:suff w:val="tab"/>
      <w:lvlText w:val="%7."/>
      <w:lvlJc w:val="left"/>
      <w:pPr>
        <w:ind w:left="5400" w:hanging="360"/>
        <w:tabs>
          <w:tab w:val="num" w:pos="0" w:leader="none"/>
        </w:tabs>
      </w:pPr>
    </w:lvl>
    <w:lvl w:ilvl="7">
      <w:start w:val="1"/>
      <w:numFmt w:val="lowerLetter"/>
      <w:isLgl/>
      <w:suff w:val="tab"/>
      <w:lvlText w:val="%8."/>
      <w:lvlJc w:val="left"/>
      <w:pPr>
        <w:ind w:left="6120" w:hanging="360"/>
        <w:tabs>
          <w:tab w:val="num" w:pos="0" w:leader="none"/>
        </w:tabs>
      </w:pPr>
    </w:lvl>
    <w:lvl w:ilvl="8">
      <w:start w:val="1"/>
      <w:numFmt w:val="lowerRoman"/>
      <w:isLgl/>
      <w:suff w:val="tab"/>
      <w:lvlText w:val="%9."/>
      <w:lvlJc w:val="right"/>
      <w:pPr>
        <w:ind w:left="6840" w:hanging="180"/>
        <w:tabs>
          <w:tab w:val="num" w:pos="0" w:leader="none"/>
        </w:tabs>
      </w:pPr>
    </w:lvl>
  </w:abstractNum>
  <w:abstractNum w:abstractNumId="35">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36">
    <w:multiLevelType w:val="hybridMultilevel"/>
    <w:lvl w:ilvl="0">
      <w:start w:val="1"/>
      <w:numFmt w:val="bullet"/>
      <w:isLgl w:val="false"/>
      <w:suff w:val="tab"/>
      <w:lvlText w:val=""/>
      <w:lvlJc w:val="left"/>
      <w:pPr>
        <w:ind w:left="720" w:hanging="360"/>
        <w:tabs>
          <w:tab w:val="num" w:pos="0"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37">
    <w:multiLevelType w:val="hybridMultilevel"/>
    <w:lvl w:ilvl="0">
      <w:start w:val="1"/>
      <w:numFmt w:val="russianLower"/>
      <w:isLgl w:val="false"/>
      <w:suff w:val="tab"/>
      <w:lvlText w:val="%1)"/>
      <w:lvlJc w:val="left"/>
      <w:pPr>
        <w:ind w:left="754" w:hanging="360"/>
        <w:tabs>
          <w:tab w:val="num" w:pos="0" w:leader="none"/>
        </w:tabs>
      </w:pPr>
      <w:rPr>
        <w:rFonts w:cs="Times New Roman"/>
      </w:rPr>
    </w:lvl>
    <w:lvl w:ilvl="1">
      <w:start w:val="1"/>
      <w:numFmt w:val="lowerLetter"/>
      <w:isLgl/>
      <w:suff w:val="tab"/>
      <w:lvlText w:val="%2."/>
      <w:lvlJc w:val="left"/>
      <w:pPr>
        <w:ind w:left="1474" w:hanging="360"/>
        <w:tabs>
          <w:tab w:val="num" w:pos="0" w:leader="none"/>
        </w:tabs>
      </w:pPr>
    </w:lvl>
    <w:lvl w:ilvl="2">
      <w:start w:val="1"/>
      <w:numFmt w:val="lowerRoman"/>
      <w:isLgl/>
      <w:suff w:val="tab"/>
      <w:lvlText w:val="%3."/>
      <w:lvlJc w:val="right"/>
      <w:pPr>
        <w:ind w:left="2194" w:hanging="180"/>
        <w:tabs>
          <w:tab w:val="num" w:pos="0" w:leader="none"/>
        </w:tabs>
      </w:pPr>
    </w:lvl>
    <w:lvl w:ilvl="3">
      <w:start w:val="1"/>
      <w:numFmt w:val="decimal"/>
      <w:isLgl/>
      <w:suff w:val="tab"/>
      <w:lvlText w:val="%4."/>
      <w:lvlJc w:val="left"/>
      <w:pPr>
        <w:ind w:left="2914" w:hanging="360"/>
        <w:tabs>
          <w:tab w:val="num" w:pos="0" w:leader="none"/>
        </w:tabs>
      </w:pPr>
    </w:lvl>
    <w:lvl w:ilvl="4">
      <w:start w:val="1"/>
      <w:numFmt w:val="lowerLetter"/>
      <w:isLgl/>
      <w:suff w:val="tab"/>
      <w:lvlText w:val="%5."/>
      <w:lvlJc w:val="left"/>
      <w:pPr>
        <w:ind w:left="3634" w:hanging="360"/>
        <w:tabs>
          <w:tab w:val="num" w:pos="0" w:leader="none"/>
        </w:tabs>
      </w:pPr>
    </w:lvl>
    <w:lvl w:ilvl="5">
      <w:start w:val="1"/>
      <w:numFmt w:val="lowerRoman"/>
      <w:isLgl/>
      <w:suff w:val="tab"/>
      <w:lvlText w:val="%6."/>
      <w:lvlJc w:val="right"/>
      <w:pPr>
        <w:ind w:left="4354" w:hanging="180"/>
        <w:tabs>
          <w:tab w:val="num" w:pos="0" w:leader="none"/>
        </w:tabs>
      </w:pPr>
    </w:lvl>
    <w:lvl w:ilvl="6">
      <w:start w:val="1"/>
      <w:numFmt w:val="decimal"/>
      <w:isLgl/>
      <w:suff w:val="tab"/>
      <w:lvlText w:val="%7."/>
      <w:lvlJc w:val="left"/>
      <w:pPr>
        <w:ind w:left="5074" w:hanging="360"/>
        <w:tabs>
          <w:tab w:val="num" w:pos="0" w:leader="none"/>
        </w:tabs>
      </w:pPr>
    </w:lvl>
    <w:lvl w:ilvl="7">
      <w:start w:val="1"/>
      <w:numFmt w:val="lowerLetter"/>
      <w:isLgl/>
      <w:suff w:val="tab"/>
      <w:lvlText w:val="%8."/>
      <w:lvlJc w:val="left"/>
      <w:pPr>
        <w:ind w:left="5794" w:hanging="360"/>
        <w:tabs>
          <w:tab w:val="num" w:pos="0" w:leader="none"/>
        </w:tabs>
      </w:pPr>
    </w:lvl>
    <w:lvl w:ilvl="8">
      <w:start w:val="1"/>
      <w:numFmt w:val="lowerRoman"/>
      <w:isLgl/>
      <w:suff w:val="tab"/>
      <w:lvlText w:val="%9."/>
      <w:lvlJc w:val="right"/>
      <w:pPr>
        <w:ind w:left="6514" w:hanging="180"/>
        <w:tabs>
          <w:tab w:val="num" w:pos="0" w:leader="none"/>
        </w:tabs>
      </w:pPr>
    </w:lvl>
  </w:abstractNum>
  <w:abstractNum w:abstractNumId="38">
    <w:multiLevelType w:val="hybridMultilevel"/>
    <w:lvl w:ilvl="0">
      <w:start w:val="1"/>
      <w:numFmt w:val="bullet"/>
      <w:isLgl/>
      <w:suff w:val="tab"/>
      <w:lvlText w:val=""/>
      <w:lvlJc w:val="left"/>
      <w:pPr>
        <w:ind w:left="1287" w:hanging="360"/>
        <w:tabs>
          <w:tab w:val="num" w:pos="0" w:leader="none"/>
        </w:tabs>
      </w:pPr>
      <w:rPr>
        <w:rFonts w:hint="default" w:ascii="Symbol" w:hAnsi="Symbol" w:cs="Symbol"/>
      </w:rPr>
    </w:lvl>
    <w:lvl w:ilvl="1">
      <w:start w:val="1"/>
      <w:numFmt w:val="bullet"/>
      <w:isLgl/>
      <w:suff w:val="tab"/>
      <w:lvlText w:val="o"/>
      <w:lvlJc w:val="left"/>
      <w:pPr>
        <w:ind w:left="2007" w:hanging="360"/>
        <w:tabs>
          <w:tab w:val="num" w:pos="0" w:leader="none"/>
        </w:tabs>
      </w:pPr>
      <w:rPr>
        <w:rFonts w:hint="default" w:ascii="Courier New" w:hAnsi="Courier New" w:cs="Courier New"/>
      </w:rPr>
    </w:lvl>
    <w:lvl w:ilvl="2">
      <w:start w:val="1"/>
      <w:numFmt w:val="bullet"/>
      <w:isLgl/>
      <w:suff w:val="tab"/>
      <w:lvlText w:val=""/>
      <w:lvlJc w:val="left"/>
      <w:pPr>
        <w:ind w:left="2727" w:hanging="360"/>
        <w:tabs>
          <w:tab w:val="num" w:pos="0" w:leader="none"/>
        </w:tabs>
      </w:pPr>
      <w:rPr>
        <w:rFonts w:hint="default" w:ascii="Wingdings" w:hAnsi="Wingdings" w:cs="Wingdings"/>
      </w:rPr>
    </w:lvl>
    <w:lvl w:ilvl="3">
      <w:start w:val="1"/>
      <w:numFmt w:val="bullet"/>
      <w:isLgl/>
      <w:suff w:val="tab"/>
      <w:lvlText w:val=""/>
      <w:lvlJc w:val="left"/>
      <w:pPr>
        <w:ind w:left="3447" w:hanging="360"/>
        <w:tabs>
          <w:tab w:val="num" w:pos="0" w:leader="none"/>
        </w:tabs>
      </w:pPr>
      <w:rPr>
        <w:rFonts w:hint="default" w:ascii="Symbol" w:hAnsi="Symbol" w:cs="Symbol"/>
      </w:rPr>
    </w:lvl>
    <w:lvl w:ilvl="4">
      <w:start w:val="1"/>
      <w:numFmt w:val="bullet"/>
      <w:isLgl/>
      <w:suff w:val="tab"/>
      <w:lvlText w:val="o"/>
      <w:lvlJc w:val="left"/>
      <w:pPr>
        <w:ind w:left="4167" w:hanging="360"/>
        <w:tabs>
          <w:tab w:val="num" w:pos="0" w:leader="none"/>
        </w:tabs>
      </w:pPr>
      <w:rPr>
        <w:rFonts w:hint="default" w:ascii="Courier New" w:hAnsi="Courier New" w:cs="Courier New"/>
      </w:rPr>
    </w:lvl>
    <w:lvl w:ilvl="5">
      <w:start w:val="1"/>
      <w:numFmt w:val="bullet"/>
      <w:isLgl/>
      <w:suff w:val="tab"/>
      <w:lvlText w:val=""/>
      <w:lvlJc w:val="left"/>
      <w:pPr>
        <w:ind w:left="4887" w:hanging="360"/>
        <w:tabs>
          <w:tab w:val="num" w:pos="0" w:leader="none"/>
        </w:tabs>
      </w:pPr>
      <w:rPr>
        <w:rFonts w:hint="default" w:ascii="Wingdings" w:hAnsi="Wingdings" w:cs="Wingdings"/>
      </w:rPr>
    </w:lvl>
    <w:lvl w:ilvl="6">
      <w:start w:val="1"/>
      <w:numFmt w:val="bullet"/>
      <w:isLgl/>
      <w:suff w:val="tab"/>
      <w:lvlText w:val=""/>
      <w:lvlJc w:val="left"/>
      <w:pPr>
        <w:ind w:left="5607" w:hanging="360"/>
        <w:tabs>
          <w:tab w:val="num" w:pos="0" w:leader="none"/>
        </w:tabs>
      </w:pPr>
      <w:rPr>
        <w:rFonts w:hint="default" w:ascii="Symbol" w:hAnsi="Symbol" w:cs="Symbol"/>
      </w:rPr>
    </w:lvl>
    <w:lvl w:ilvl="7">
      <w:start w:val="1"/>
      <w:numFmt w:val="bullet"/>
      <w:isLgl/>
      <w:suff w:val="tab"/>
      <w:lvlText w:val="o"/>
      <w:lvlJc w:val="left"/>
      <w:pPr>
        <w:ind w:left="6327" w:hanging="360"/>
        <w:tabs>
          <w:tab w:val="num" w:pos="0" w:leader="none"/>
        </w:tabs>
      </w:pPr>
      <w:rPr>
        <w:rFonts w:hint="default" w:ascii="Courier New" w:hAnsi="Courier New" w:cs="Courier New"/>
      </w:rPr>
    </w:lvl>
    <w:lvl w:ilvl="8">
      <w:start w:val="1"/>
      <w:numFmt w:val="bullet"/>
      <w:isLgl/>
      <w:suff w:val="tab"/>
      <w:lvlText w:val=""/>
      <w:lvlJc w:val="left"/>
      <w:pPr>
        <w:ind w:left="7047" w:hanging="360"/>
        <w:tabs>
          <w:tab w:val="num" w:pos="0" w:leader="none"/>
        </w:tabs>
      </w:pPr>
      <w:rPr>
        <w:rFonts w:hint="default" w:ascii="Wingdings" w:hAnsi="Wingdings" w:cs="Wingdings"/>
      </w:rPr>
    </w:lvl>
  </w:abstractNum>
  <w:abstractNum w:abstractNumId="39">
    <w:multiLevelType w:val="hybridMultilevel"/>
    <w:lvl w:ilvl="0">
      <w:start w:val="1"/>
      <w:numFmt w:val="decimal"/>
      <w:isLgl w:val="false"/>
      <w:suff w:val="tab"/>
      <w:lvlText w:val="%1)"/>
      <w:lvlJc w:val="left"/>
      <w:pPr>
        <w:ind w:left="360" w:hanging="360"/>
      </w:p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40">
    <w:multiLevelType w:val="hybridMultilevel"/>
    <w:lvl w:ilvl="0">
      <w:start w:val="1"/>
      <w:numFmt w:val="russianLower"/>
      <w:isLgl w:val="false"/>
      <w:suff w:val="tab"/>
      <w:lvlText w:val="%1)"/>
      <w:lvlJc w:val="left"/>
      <w:pPr>
        <w:ind w:left="1152" w:hanging="360"/>
        <w:tabs>
          <w:tab w:val="num" w:pos="0" w:leader="none"/>
        </w:tabs>
      </w:pPr>
      <w:rPr>
        <w:rFonts w:cs="Times New Roman"/>
      </w:rPr>
    </w:lvl>
    <w:lvl w:ilvl="1">
      <w:start w:val="1"/>
      <w:numFmt w:val="lowerLetter"/>
      <w:isLgl/>
      <w:suff w:val="tab"/>
      <w:lvlText w:val="%2."/>
      <w:lvlJc w:val="left"/>
      <w:pPr>
        <w:ind w:left="1872" w:hanging="360"/>
        <w:tabs>
          <w:tab w:val="num" w:pos="0" w:leader="none"/>
        </w:tabs>
      </w:pPr>
    </w:lvl>
    <w:lvl w:ilvl="2">
      <w:start w:val="1"/>
      <w:numFmt w:val="lowerRoman"/>
      <w:isLgl/>
      <w:suff w:val="tab"/>
      <w:lvlText w:val="%3."/>
      <w:lvlJc w:val="right"/>
      <w:pPr>
        <w:ind w:left="2592" w:hanging="180"/>
        <w:tabs>
          <w:tab w:val="num" w:pos="0" w:leader="none"/>
        </w:tabs>
      </w:pPr>
    </w:lvl>
    <w:lvl w:ilvl="3">
      <w:start w:val="1"/>
      <w:numFmt w:val="decimal"/>
      <w:isLgl/>
      <w:suff w:val="tab"/>
      <w:lvlText w:val="%4."/>
      <w:lvlJc w:val="left"/>
      <w:pPr>
        <w:ind w:left="3312" w:hanging="360"/>
        <w:tabs>
          <w:tab w:val="num" w:pos="0" w:leader="none"/>
        </w:tabs>
      </w:pPr>
    </w:lvl>
    <w:lvl w:ilvl="4">
      <w:start w:val="1"/>
      <w:numFmt w:val="lowerLetter"/>
      <w:isLgl/>
      <w:suff w:val="tab"/>
      <w:lvlText w:val="%5."/>
      <w:lvlJc w:val="left"/>
      <w:pPr>
        <w:ind w:left="4032" w:hanging="360"/>
        <w:tabs>
          <w:tab w:val="num" w:pos="0" w:leader="none"/>
        </w:tabs>
      </w:pPr>
    </w:lvl>
    <w:lvl w:ilvl="5">
      <w:start w:val="1"/>
      <w:numFmt w:val="lowerRoman"/>
      <w:isLgl/>
      <w:suff w:val="tab"/>
      <w:lvlText w:val="%6."/>
      <w:lvlJc w:val="right"/>
      <w:pPr>
        <w:ind w:left="4752" w:hanging="180"/>
        <w:tabs>
          <w:tab w:val="num" w:pos="0" w:leader="none"/>
        </w:tabs>
      </w:pPr>
    </w:lvl>
    <w:lvl w:ilvl="6">
      <w:start w:val="1"/>
      <w:numFmt w:val="decimal"/>
      <w:isLgl/>
      <w:suff w:val="tab"/>
      <w:lvlText w:val="%7."/>
      <w:lvlJc w:val="left"/>
      <w:pPr>
        <w:ind w:left="5472" w:hanging="360"/>
        <w:tabs>
          <w:tab w:val="num" w:pos="0" w:leader="none"/>
        </w:tabs>
      </w:pPr>
    </w:lvl>
    <w:lvl w:ilvl="7">
      <w:start w:val="1"/>
      <w:numFmt w:val="lowerLetter"/>
      <w:isLgl/>
      <w:suff w:val="tab"/>
      <w:lvlText w:val="%8."/>
      <w:lvlJc w:val="left"/>
      <w:pPr>
        <w:ind w:left="6192" w:hanging="360"/>
        <w:tabs>
          <w:tab w:val="num" w:pos="0" w:leader="none"/>
        </w:tabs>
      </w:pPr>
    </w:lvl>
    <w:lvl w:ilvl="8">
      <w:start w:val="1"/>
      <w:numFmt w:val="lowerRoman"/>
      <w:isLgl/>
      <w:suff w:val="tab"/>
      <w:lvlText w:val="%9."/>
      <w:lvlJc w:val="right"/>
      <w:pPr>
        <w:ind w:left="6912" w:hanging="180"/>
        <w:tabs>
          <w:tab w:val="num" w:pos="0" w:leader="none"/>
        </w:tabs>
      </w:pPr>
    </w:lvl>
  </w:abstractNum>
  <w:abstractNum w:abstractNumId="41">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42">
    <w:multiLevelType w:val="hybridMultilevel"/>
    <w:lvl w:ilvl="0">
      <w:start w:val="1"/>
      <w:numFmt w:val="decimal"/>
      <w:isLgl w:val="false"/>
      <w:suff w:val="tab"/>
      <w:lvlText w:val="%1."/>
      <w:lvlJc w:val="left"/>
      <w:pPr>
        <w:ind w:left="720" w:hanging="360"/>
        <w:tabs>
          <w:tab w:val="num" w:pos="0" w:leader="none"/>
        </w:tabs>
      </w:pPr>
      <w:rPr>
        <w:sz w:val="20"/>
        <w:szCs w:val="20"/>
      </w:rPr>
    </w:lvl>
    <w:lvl w:ilvl="1">
      <w:start w:val="1"/>
      <w:numFmt w:val="lowerLetter"/>
      <w:isLgl w:val="false"/>
      <w:suff w:val="tab"/>
      <w:lvlText w:val="%2."/>
      <w:lvlJc w:val="left"/>
      <w:pPr>
        <w:ind w:left="1440" w:hanging="360"/>
        <w:tabs>
          <w:tab w:val="num" w:pos="0" w:leader="none"/>
        </w:tabs>
      </w:pPr>
    </w:lvl>
    <w:lvl w:ilvl="2">
      <w:start w:val="1"/>
      <w:numFmt w:val="lowerRoman"/>
      <w:isLgl w:val="false"/>
      <w:suff w:val="tab"/>
      <w:lvlText w:val="%3."/>
      <w:lvlJc w:val="right"/>
      <w:pPr>
        <w:ind w:left="2160" w:hanging="180"/>
        <w:tabs>
          <w:tab w:val="num" w:pos="0" w:leader="none"/>
        </w:tabs>
      </w:pPr>
    </w:lvl>
    <w:lvl w:ilvl="3">
      <w:start w:val="1"/>
      <w:numFmt w:val="decimal"/>
      <w:isLgl w:val="false"/>
      <w:suff w:val="tab"/>
      <w:lvlText w:val="%4."/>
      <w:lvlJc w:val="left"/>
      <w:pPr>
        <w:ind w:left="2880" w:hanging="360"/>
        <w:tabs>
          <w:tab w:val="num" w:pos="0" w:leader="none"/>
        </w:tabs>
      </w:pPr>
    </w:lvl>
    <w:lvl w:ilvl="4">
      <w:start w:val="1"/>
      <w:numFmt w:val="lowerLetter"/>
      <w:isLgl w:val="false"/>
      <w:suff w:val="tab"/>
      <w:lvlText w:val="%5."/>
      <w:lvlJc w:val="left"/>
      <w:pPr>
        <w:ind w:left="3600" w:hanging="360"/>
        <w:tabs>
          <w:tab w:val="num" w:pos="0" w:leader="none"/>
        </w:tabs>
      </w:pPr>
    </w:lvl>
    <w:lvl w:ilvl="5">
      <w:start w:val="1"/>
      <w:numFmt w:val="lowerRoman"/>
      <w:isLgl w:val="false"/>
      <w:suff w:val="tab"/>
      <w:lvlText w:val="%6."/>
      <w:lvlJc w:val="right"/>
      <w:pPr>
        <w:ind w:left="4320" w:hanging="180"/>
        <w:tabs>
          <w:tab w:val="num" w:pos="0" w:leader="none"/>
        </w:tabs>
      </w:pPr>
    </w:lvl>
    <w:lvl w:ilvl="6">
      <w:start w:val="1"/>
      <w:numFmt w:val="decimal"/>
      <w:isLgl w:val="false"/>
      <w:suff w:val="tab"/>
      <w:lvlText w:val="%7."/>
      <w:lvlJc w:val="left"/>
      <w:pPr>
        <w:ind w:left="5040" w:hanging="360"/>
        <w:tabs>
          <w:tab w:val="num" w:pos="0" w:leader="none"/>
        </w:tabs>
      </w:pPr>
    </w:lvl>
    <w:lvl w:ilvl="7">
      <w:start w:val="1"/>
      <w:numFmt w:val="lowerLetter"/>
      <w:isLgl w:val="false"/>
      <w:suff w:val="tab"/>
      <w:lvlText w:val="%8."/>
      <w:lvlJc w:val="left"/>
      <w:pPr>
        <w:ind w:left="5760" w:hanging="360"/>
        <w:tabs>
          <w:tab w:val="num" w:pos="0" w:leader="none"/>
        </w:tabs>
      </w:pPr>
    </w:lvl>
    <w:lvl w:ilvl="8">
      <w:start w:val="1"/>
      <w:numFmt w:val="lowerRoman"/>
      <w:isLgl w:val="false"/>
      <w:suff w:val="tab"/>
      <w:lvlText w:val="%9."/>
      <w:lvlJc w:val="right"/>
      <w:pPr>
        <w:ind w:left="6480" w:hanging="180"/>
        <w:tabs>
          <w:tab w:val="num" w:pos="0" w:leader="none"/>
        </w:tabs>
      </w:pPr>
    </w:lvl>
  </w:abstractNum>
  <w:abstractNum w:abstractNumId="43">
    <w:multiLevelType w:val="hybridMultilevel"/>
    <w:lvl w:ilvl="0">
      <w:start w:val="1"/>
      <w:numFmt w:val="decimal"/>
      <w:pStyle w:val="1268"/>
      <w:isLgl/>
      <w:suff w:val="tab"/>
      <w:lvlText w:val="%1."/>
      <w:lvlJc w:val="left"/>
      <w:pPr>
        <w:ind w:left="567" w:hanging="567"/>
        <w:tabs>
          <w:tab w:val="num" w:pos="567" w:leader="none"/>
        </w:tabs>
      </w:pPr>
    </w:lvl>
    <w:lvl w:ilvl="1">
      <w:start w:val="1"/>
      <w:numFmt w:val="decimal"/>
      <w:pStyle w:val="1254"/>
      <w:isLgl/>
      <w:suff w:val="tab"/>
      <w:lvlText w:val="%1.%2"/>
      <w:lvlJc w:val="left"/>
      <w:pPr>
        <w:ind w:left="567" w:hanging="567"/>
        <w:tabs>
          <w:tab w:val="num" w:pos="567" w:leader="none"/>
        </w:tabs>
      </w:pPr>
    </w:lvl>
    <w:lvl w:ilvl="2">
      <w:start w:val="1"/>
      <w:numFmt w:val="none"/>
      <w:isLgl/>
      <w:suff w:val="nothing"/>
      <w:lvlText w:val="%1.%2.%3"/>
      <w:lvlJc w:val="left"/>
      <w:pPr>
        <w:ind w:left="720" w:hanging="720"/>
        <w:tabs>
          <w:tab w:val="num" w:pos="0" w:leader="none"/>
        </w:tabs>
      </w:pPr>
    </w:lvl>
    <w:lvl w:ilvl="3">
      <w:start w:val="1"/>
      <w:numFmt w:val="decimal"/>
      <w:isLgl/>
      <w:suff w:val="tab"/>
      <w:lvlText w:val="%1.%2.%3%4"/>
      <w:lvlJc w:val="left"/>
      <w:pPr>
        <w:ind w:left="864" w:hanging="864"/>
        <w:tabs>
          <w:tab w:val="num" w:pos="864" w:leader="none"/>
        </w:tabs>
      </w:pPr>
    </w:lvl>
    <w:lvl w:ilvl="4">
      <w:start w:val="1"/>
      <w:numFmt w:val="decimal"/>
      <w:isLgl/>
      <w:suff w:val="tab"/>
      <w:lvlText w:val="%1.%2.%3%4.%5"/>
      <w:lvlJc w:val="left"/>
      <w:pPr>
        <w:ind w:left="1008" w:hanging="1008"/>
        <w:tabs>
          <w:tab w:val="num" w:pos="1008" w:leader="none"/>
        </w:tabs>
      </w:pPr>
    </w:lvl>
    <w:lvl w:ilvl="5">
      <w:start w:val="1"/>
      <w:numFmt w:val="decimal"/>
      <w:isLgl/>
      <w:suff w:val="tab"/>
      <w:lvlText w:val="%1.%2.%3%4.%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44">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45">
    <w:multiLevelType w:val="hybridMultilevel"/>
    <w:lvl w:ilvl="0">
      <w:start w:val="1"/>
      <w:numFmt w:val="decimal"/>
      <w:pStyle w:val="1321"/>
      <w:isLgl/>
      <w:suff w:val="tab"/>
      <w:lvlText w:val="%1."/>
      <w:lvlJc w:val="left"/>
      <w:pPr>
        <w:ind w:left="432" w:hanging="432"/>
        <w:tabs>
          <w:tab w:val="num" w:pos="432" w:leader="none"/>
        </w:tabs>
      </w:pPr>
    </w:lvl>
    <w:lvl w:ilvl="1">
      <w:start w:val="1"/>
      <w:numFmt w:val="decimal"/>
      <w:pStyle w:val="1324"/>
      <w:isLgl/>
      <w:suff w:val="tab"/>
      <w:lvlText w:val="%1.%2"/>
      <w:lvlJc w:val="left"/>
      <w:pPr>
        <w:ind w:left="1836" w:hanging="576"/>
        <w:tabs>
          <w:tab w:val="num" w:pos="1836" w:leader="none"/>
        </w:tabs>
      </w:pPr>
    </w:lvl>
    <w:lvl w:ilvl="2">
      <w:start w:val="1"/>
      <w:numFmt w:val="decimal"/>
      <w:pStyle w:val="1325"/>
      <w:isLgl/>
      <w:suff w:val="tab"/>
      <w:lvlText w:val="%1.%2.%3"/>
      <w:lvlJc w:val="left"/>
      <w:pPr>
        <w:ind w:left="1080" w:firstLine="0"/>
        <w:tabs>
          <w:tab w:val="num" w:pos="1307" w:leader="none"/>
        </w:tabs>
      </w:pPr>
    </w:lvl>
    <w:lvl w:ilvl="3">
      <w:start w:val="1"/>
      <w:numFmt w:val="decimal"/>
      <w:isLgl/>
      <w:suff w:val="tab"/>
      <w:lvlText w:val="%1.%2.%3.%4"/>
      <w:lvlJc w:val="left"/>
      <w:pPr>
        <w:ind w:left="864" w:hanging="864"/>
        <w:tabs>
          <w:tab w:val="num" w:pos="864" w:leader="none"/>
        </w:tabs>
      </w:pPr>
    </w:lvl>
    <w:lvl w:ilvl="4">
      <w:start w:val="1"/>
      <w:numFmt w:val="decimal"/>
      <w:isLgl/>
      <w:suff w:val="tab"/>
      <w:lvlText w:val="%1.%2.%3.%4.%5"/>
      <w:lvlJc w:val="left"/>
      <w:pPr>
        <w:ind w:left="1008" w:hanging="1008"/>
        <w:tabs>
          <w:tab w:val="num" w:pos="1008" w:leader="none"/>
        </w:tabs>
      </w:pPr>
    </w:lvl>
    <w:lvl w:ilvl="5">
      <w:start w:val="1"/>
      <w:numFmt w:val="decimal"/>
      <w:isLgl/>
      <w:suff w:val="tab"/>
      <w:lvlText w:val="%1.%2.%3.%4.%5.%6"/>
      <w:lvlJc w:val="left"/>
      <w:pPr>
        <w:ind w:left="1152" w:hanging="1152"/>
        <w:tabs>
          <w:tab w:val="num" w:pos="1152" w:leader="none"/>
        </w:tabs>
      </w:pPr>
    </w:lvl>
    <w:lvl w:ilvl="6">
      <w:start w:val="1"/>
      <w:numFmt w:val="decimal"/>
      <w:isLgl/>
      <w:suff w:val="tab"/>
      <w:lvlText w:val="%1.%2.%3.%4.%5.%6.%7"/>
      <w:lvlJc w:val="left"/>
      <w:pPr>
        <w:ind w:left="1296" w:hanging="1296"/>
        <w:tabs>
          <w:tab w:val="num" w:pos="1296" w:leader="none"/>
        </w:tabs>
      </w:pPr>
    </w:lvl>
    <w:lvl w:ilvl="7">
      <w:start w:val="1"/>
      <w:numFmt w:val="decimal"/>
      <w:isLgl/>
      <w:suff w:val="tab"/>
      <w:lvlText w:val="%1.%2.%3.%4.%5.%6.%7.%8"/>
      <w:lvlJc w:val="left"/>
      <w:pPr>
        <w:ind w:left="1440" w:hanging="1440"/>
        <w:tabs>
          <w:tab w:val="num" w:pos="1440" w:leader="none"/>
        </w:tabs>
      </w:pPr>
    </w:lvl>
    <w:lvl w:ilvl="8">
      <w:start w:val="1"/>
      <w:numFmt w:val="decimal"/>
      <w:isLgl/>
      <w:suff w:val="tab"/>
      <w:lvlText w:val="%1.%2.%3.%4.%5.%6.%7.%8.%9"/>
      <w:lvlJc w:val="left"/>
      <w:pPr>
        <w:ind w:left="1584" w:hanging="1584"/>
        <w:tabs>
          <w:tab w:val="num" w:pos="1584" w:leader="none"/>
        </w:tabs>
      </w:pPr>
    </w:lvl>
  </w:abstractNum>
  <w:abstractNum w:abstractNumId="46">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abstractNum w:abstractNumId="47">
    <w:multiLevelType w:val="hybridMultilevel"/>
    <w:lvl w:ilvl="0">
      <w:start w:val="1"/>
      <w:numFmt w:val="russianLower"/>
      <w:pStyle w:val="1372"/>
      <w:isLgl/>
      <w:suff w:val="tab"/>
      <w:lvlText w:val="%1)"/>
      <w:lvlJc w:val="left"/>
      <w:pPr>
        <w:ind w:left="1152" w:hanging="360"/>
        <w:tabs>
          <w:tab w:val="num" w:pos="0" w:leader="none"/>
        </w:tabs>
      </w:pPr>
      <w:rPr>
        <w:rFonts w:cs="Times New Roman"/>
      </w:rPr>
    </w:lvl>
    <w:lvl w:ilvl="1">
      <w:start w:val="1"/>
      <w:numFmt w:val="lowerLetter"/>
      <w:isLgl/>
      <w:suff w:val="tab"/>
      <w:lvlText w:val="%2."/>
      <w:lvlJc w:val="left"/>
      <w:pPr>
        <w:ind w:left="1872" w:hanging="360"/>
        <w:tabs>
          <w:tab w:val="num" w:pos="0" w:leader="none"/>
        </w:tabs>
      </w:pPr>
    </w:lvl>
    <w:lvl w:ilvl="2">
      <w:start w:val="1"/>
      <w:numFmt w:val="lowerRoman"/>
      <w:isLgl/>
      <w:suff w:val="tab"/>
      <w:lvlText w:val="%3."/>
      <w:lvlJc w:val="right"/>
      <w:pPr>
        <w:ind w:left="2592" w:hanging="180"/>
        <w:tabs>
          <w:tab w:val="num" w:pos="0" w:leader="none"/>
        </w:tabs>
      </w:pPr>
    </w:lvl>
    <w:lvl w:ilvl="3">
      <w:start w:val="1"/>
      <w:numFmt w:val="decimal"/>
      <w:isLgl/>
      <w:suff w:val="tab"/>
      <w:lvlText w:val="%4."/>
      <w:lvlJc w:val="left"/>
      <w:pPr>
        <w:ind w:left="3312" w:hanging="360"/>
        <w:tabs>
          <w:tab w:val="num" w:pos="0" w:leader="none"/>
        </w:tabs>
      </w:pPr>
    </w:lvl>
    <w:lvl w:ilvl="4">
      <w:start w:val="1"/>
      <w:numFmt w:val="lowerLetter"/>
      <w:isLgl/>
      <w:suff w:val="tab"/>
      <w:lvlText w:val="%5."/>
      <w:lvlJc w:val="left"/>
      <w:pPr>
        <w:ind w:left="4032" w:hanging="360"/>
        <w:tabs>
          <w:tab w:val="num" w:pos="0" w:leader="none"/>
        </w:tabs>
      </w:pPr>
    </w:lvl>
    <w:lvl w:ilvl="5">
      <w:start w:val="1"/>
      <w:numFmt w:val="lowerRoman"/>
      <w:isLgl/>
      <w:suff w:val="tab"/>
      <w:lvlText w:val="%6."/>
      <w:lvlJc w:val="right"/>
      <w:pPr>
        <w:ind w:left="4752" w:hanging="180"/>
        <w:tabs>
          <w:tab w:val="num" w:pos="0" w:leader="none"/>
        </w:tabs>
      </w:pPr>
    </w:lvl>
    <w:lvl w:ilvl="6">
      <w:start w:val="1"/>
      <w:numFmt w:val="decimal"/>
      <w:isLgl/>
      <w:suff w:val="tab"/>
      <w:lvlText w:val="%7."/>
      <w:lvlJc w:val="left"/>
      <w:pPr>
        <w:ind w:left="5472" w:hanging="360"/>
        <w:tabs>
          <w:tab w:val="num" w:pos="0" w:leader="none"/>
        </w:tabs>
      </w:pPr>
    </w:lvl>
    <w:lvl w:ilvl="7">
      <w:start w:val="1"/>
      <w:numFmt w:val="lowerLetter"/>
      <w:isLgl/>
      <w:suff w:val="tab"/>
      <w:lvlText w:val="%8."/>
      <w:lvlJc w:val="left"/>
      <w:pPr>
        <w:ind w:left="6192" w:hanging="360"/>
        <w:tabs>
          <w:tab w:val="num" w:pos="0" w:leader="none"/>
        </w:tabs>
      </w:pPr>
    </w:lvl>
    <w:lvl w:ilvl="8">
      <w:start w:val="1"/>
      <w:numFmt w:val="lowerRoman"/>
      <w:isLgl/>
      <w:suff w:val="tab"/>
      <w:lvlText w:val="%9."/>
      <w:lvlJc w:val="right"/>
      <w:pPr>
        <w:ind w:left="6912" w:hanging="180"/>
        <w:tabs>
          <w:tab w:val="num" w:pos="0" w:leader="none"/>
        </w:tabs>
      </w:pPr>
    </w:lvl>
  </w:abstractNum>
  <w:abstractNum w:abstractNumId="48">
    <w:multiLevelType w:val="hybridMultilevel"/>
    <w:lvl w:ilvl="0">
      <w:start w:val="1"/>
      <w:numFmt w:val="russianLower"/>
      <w:isLgl/>
      <w:suff w:val="tab"/>
      <w:lvlText w:val="%1)"/>
      <w:lvlJc w:val="left"/>
      <w:pPr>
        <w:ind w:left="1429" w:hanging="360"/>
        <w:tabs>
          <w:tab w:val="num" w:pos="0" w:leader="none"/>
        </w:tabs>
      </w:pPr>
      <w:rPr>
        <w:rFonts w:cs="Times New Roman"/>
      </w:rPr>
    </w:lvl>
    <w:lvl w:ilvl="1">
      <w:start w:val="1"/>
      <w:numFmt w:val="decimal"/>
      <w:isLgl/>
      <w:suff w:val="tab"/>
      <w:lvlText w:val="%2."/>
      <w:lvlJc w:val="left"/>
      <w:pPr>
        <w:ind w:left="2509" w:hanging="720"/>
        <w:tabs>
          <w:tab w:val="num" w:pos="0" w:leader="none"/>
        </w:tabs>
      </w:pPr>
    </w:lvl>
    <w:lvl w:ilvl="2">
      <w:start w:val="1"/>
      <w:numFmt w:val="lowerRoman"/>
      <w:isLgl/>
      <w:suff w:val="tab"/>
      <w:lvlText w:val="%3."/>
      <w:lvlJc w:val="right"/>
      <w:pPr>
        <w:ind w:left="2869" w:hanging="180"/>
        <w:tabs>
          <w:tab w:val="num" w:pos="0" w:leader="none"/>
        </w:tabs>
      </w:pPr>
    </w:lvl>
    <w:lvl w:ilvl="3">
      <w:start w:val="1"/>
      <w:numFmt w:val="decimal"/>
      <w:isLgl/>
      <w:suff w:val="tab"/>
      <w:lvlText w:val="%4."/>
      <w:lvlJc w:val="left"/>
      <w:pPr>
        <w:ind w:left="3589" w:hanging="360"/>
        <w:tabs>
          <w:tab w:val="num" w:pos="0" w:leader="none"/>
        </w:tabs>
      </w:pPr>
    </w:lvl>
    <w:lvl w:ilvl="4">
      <w:start w:val="1"/>
      <w:numFmt w:val="lowerLetter"/>
      <w:isLgl/>
      <w:suff w:val="tab"/>
      <w:lvlText w:val="%5."/>
      <w:lvlJc w:val="left"/>
      <w:pPr>
        <w:ind w:left="4309" w:hanging="360"/>
        <w:tabs>
          <w:tab w:val="num" w:pos="0" w:leader="none"/>
        </w:tabs>
      </w:pPr>
    </w:lvl>
    <w:lvl w:ilvl="5">
      <w:start w:val="1"/>
      <w:numFmt w:val="lowerRoman"/>
      <w:isLgl/>
      <w:suff w:val="tab"/>
      <w:lvlText w:val="%6."/>
      <w:lvlJc w:val="right"/>
      <w:pPr>
        <w:ind w:left="5029" w:hanging="180"/>
        <w:tabs>
          <w:tab w:val="num" w:pos="0" w:leader="none"/>
        </w:tabs>
      </w:pPr>
    </w:lvl>
    <w:lvl w:ilvl="6">
      <w:start w:val="1"/>
      <w:numFmt w:val="decimal"/>
      <w:isLgl/>
      <w:suff w:val="tab"/>
      <w:lvlText w:val="%7."/>
      <w:lvlJc w:val="left"/>
      <w:pPr>
        <w:ind w:left="5749" w:hanging="360"/>
        <w:tabs>
          <w:tab w:val="num" w:pos="0" w:leader="none"/>
        </w:tabs>
      </w:pPr>
    </w:lvl>
    <w:lvl w:ilvl="7">
      <w:start w:val="1"/>
      <w:numFmt w:val="lowerLetter"/>
      <w:isLgl/>
      <w:suff w:val="tab"/>
      <w:lvlText w:val="%8."/>
      <w:lvlJc w:val="left"/>
      <w:pPr>
        <w:ind w:left="6469" w:hanging="360"/>
        <w:tabs>
          <w:tab w:val="num" w:pos="0" w:leader="none"/>
        </w:tabs>
      </w:pPr>
    </w:lvl>
    <w:lvl w:ilvl="8">
      <w:start w:val="1"/>
      <w:numFmt w:val="lowerRoman"/>
      <w:isLgl/>
      <w:suff w:val="tab"/>
      <w:lvlText w:val="%9."/>
      <w:lvlJc w:val="right"/>
      <w:pPr>
        <w:ind w:left="7189" w:hanging="180"/>
        <w:tabs>
          <w:tab w:val="num" w:pos="0" w:leader="none"/>
        </w:tabs>
      </w:pPr>
    </w:lvl>
  </w:abstractNum>
  <w:abstractNum w:abstractNumId="49">
    <w:multiLevelType w:val="hybridMultilevel"/>
    <w:lvl w:ilvl="0">
      <w:start w:val="1"/>
      <w:numFmt w:val="decimal"/>
      <w:isLgl/>
      <w:suff w:val="tab"/>
      <w:lvlText w:val="%1."/>
      <w:lvlJc w:val="left"/>
      <w:pPr>
        <w:ind w:left="560" w:hanging="360"/>
        <w:tabs>
          <w:tab w:val="num" w:pos="0" w:leader="none"/>
        </w:tabs>
      </w:pPr>
    </w:lvl>
    <w:lvl w:ilvl="1">
      <w:start w:val="1"/>
      <w:numFmt w:val="decimal"/>
      <w:isLgl/>
      <w:suff w:val="tab"/>
      <w:lvlText w:val="%1.%2."/>
      <w:lvlJc w:val="left"/>
      <w:pPr>
        <w:ind w:left="1211" w:hanging="360"/>
        <w:tabs>
          <w:tab w:val="num" w:pos="0" w:leader="none"/>
        </w:tabs>
      </w:pPr>
    </w:lvl>
    <w:lvl w:ilvl="2">
      <w:start w:val="1"/>
      <w:numFmt w:val="decimal"/>
      <w:isLgl/>
      <w:suff w:val="tab"/>
      <w:lvlText w:val="%1.%2.%3."/>
      <w:lvlJc w:val="left"/>
      <w:pPr>
        <w:ind w:left="2222" w:hanging="720"/>
        <w:tabs>
          <w:tab w:val="num" w:pos="0" w:leader="none"/>
        </w:tabs>
      </w:pPr>
    </w:lvl>
    <w:lvl w:ilvl="3">
      <w:start w:val="1"/>
      <w:numFmt w:val="decimal"/>
      <w:isLgl/>
      <w:suff w:val="tab"/>
      <w:lvlText w:val="%1.%2.%3.%4."/>
      <w:lvlJc w:val="left"/>
      <w:pPr>
        <w:ind w:left="2873" w:hanging="720"/>
        <w:tabs>
          <w:tab w:val="num" w:pos="0" w:leader="none"/>
        </w:tabs>
      </w:pPr>
    </w:lvl>
    <w:lvl w:ilvl="4">
      <w:start w:val="1"/>
      <w:numFmt w:val="decimal"/>
      <w:isLgl/>
      <w:suff w:val="tab"/>
      <w:lvlText w:val="%1.%2.%3.%4.%5."/>
      <w:lvlJc w:val="left"/>
      <w:pPr>
        <w:ind w:left="3884" w:hanging="1080"/>
        <w:tabs>
          <w:tab w:val="num" w:pos="0" w:leader="none"/>
        </w:tabs>
      </w:pPr>
    </w:lvl>
    <w:lvl w:ilvl="5">
      <w:start w:val="1"/>
      <w:numFmt w:val="decimal"/>
      <w:isLgl/>
      <w:suff w:val="tab"/>
      <w:lvlText w:val="%1.%2.%3.%4.%5.%6."/>
      <w:lvlJc w:val="left"/>
      <w:pPr>
        <w:ind w:left="4535" w:hanging="1080"/>
        <w:tabs>
          <w:tab w:val="num" w:pos="0" w:leader="none"/>
        </w:tabs>
      </w:pPr>
    </w:lvl>
    <w:lvl w:ilvl="6">
      <w:start w:val="1"/>
      <w:numFmt w:val="decimal"/>
      <w:isLgl/>
      <w:suff w:val="tab"/>
      <w:lvlText w:val="%1.%2.%3.%4.%5.%6.%7."/>
      <w:lvlJc w:val="left"/>
      <w:pPr>
        <w:ind w:left="5546" w:hanging="1440"/>
        <w:tabs>
          <w:tab w:val="num" w:pos="0" w:leader="none"/>
        </w:tabs>
      </w:pPr>
    </w:lvl>
    <w:lvl w:ilvl="7">
      <w:start w:val="1"/>
      <w:numFmt w:val="decimal"/>
      <w:isLgl/>
      <w:suff w:val="tab"/>
      <w:lvlText w:val="%1.%2.%3.%4.%5.%6.%7.%8."/>
      <w:lvlJc w:val="left"/>
      <w:pPr>
        <w:ind w:left="6197" w:hanging="1440"/>
        <w:tabs>
          <w:tab w:val="num" w:pos="0" w:leader="none"/>
        </w:tabs>
      </w:pPr>
    </w:lvl>
    <w:lvl w:ilvl="8">
      <w:start w:val="1"/>
      <w:numFmt w:val="decimal"/>
      <w:isLgl/>
      <w:suff w:val="tab"/>
      <w:lvlText w:val="%1.%2.%3.%4.%5.%6.%7.%8.%9."/>
      <w:lvlJc w:val="left"/>
      <w:pPr>
        <w:ind w:left="7208" w:hanging="1800"/>
        <w:tabs>
          <w:tab w:val="num" w:pos="0" w:leader="none"/>
        </w:tabs>
      </w:pPr>
    </w:lvl>
  </w:abstractNum>
  <w:abstractNum w:abstractNumId="50">
    <w:multiLevelType w:val="hybridMultilevel"/>
    <w:lvl w:ilvl="0">
      <w:start w:val="1"/>
      <w:numFmt w:val="russianLower"/>
      <w:isLgl w:val="false"/>
      <w:suff w:val="tab"/>
      <w:lvlText w:val="%1)"/>
      <w:lvlJc w:val="left"/>
      <w:pPr>
        <w:ind w:left="1004" w:hanging="360"/>
        <w:tabs>
          <w:tab w:val="num" w:pos="0" w:leader="none"/>
        </w:tabs>
      </w:pPr>
      <w:rPr>
        <w:rFonts w:cs="Times New Roman"/>
      </w:rPr>
    </w:lvl>
    <w:lvl w:ilvl="1">
      <w:start w:val="1"/>
      <w:numFmt w:val="lowerLetter"/>
      <w:isLgl/>
      <w:suff w:val="tab"/>
      <w:lvlText w:val="%2."/>
      <w:lvlJc w:val="left"/>
      <w:pPr>
        <w:ind w:left="1724" w:hanging="360"/>
        <w:tabs>
          <w:tab w:val="num" w:pos="0" w:leader="none"/>
        </w:tabs>
      </w:pPr>
    </w:lvl>
    <w:lvl w:ilvl="2">
      <w:start w:val="1"/>
      <w:numFmt w:val="lowerRoman"/>
      <w:isLgl/>
      <w:suff w:val="tab"/>
      <w:lvlText w:val="%3."/>
      <w:lvlJc w:val="right"/>
      <w:pPr>
        <w:ind w:left="2444" w:hanging="180"/>
        <w:tabs>
          <w:tab w:val="num" w:pos="0" w:leader="none"/>
        </w:tabs>
      </w:pPr>
    </w:lvl>
    <w:lvl w:ilvl="3">
      <w:start w:val="1"/>
      <w:numFmt w:val="decimal"/>
      <w:isLgl/>
      <w:suff w:val="tab"/>
      <w:lvlText w:val="%4."/>
      <w:lvlJc w:val="left"/>
      <w:pPr>
        <w:ind w:left="3164" w:hanging="360"/>
        <w:tabs>
          <w:tab w:val="num" w:pos="0" w:leader="none"/>
        </w:tabs>
      </w:pPr>
    </w:lvl>
    <w:lvl w:ilvl="4">
      <w:start w:val="1"/>
      <w:numFmt w:val="lowerLetter"/>
      <w:isLgl/>
      <w:suff w:val="tab"/>
      <w:lvlText w:val="%5."/>
      <w:lvlJc w:val="left"/>
      <w:pPr>
        <w:ind w:left="3884" w:hanging="360"/>
        <w:tabs>
          <w:tab w:val="num" w:pos="0" w:leader="none"/>
        </w:tabs>
      </w:pPr>
    </w:lvl>
    <w:lvl w:ilvl="5">
      <w:start w:val="1"/>
      <w:numFmt w:val="lowerRoman"/>
      <w:isLgl/>
      <w:suff w:val="tab"/>
      <w:lvlText w:val="%6."/>
      <w:lvlJc w:val="right"/>
      <w:pPr>
        <w:ind w:left="4604" w:hanging="180"/>
        <w:tabs>
          <w:tab w:val="num" w:pos="0" w:leader="none"/>
        </w:tabs>
      </w:pPr>
    </w:lvl>
    <w:lvl w:ilvl="6">
      <w:start w:val="1"/>
      <w:numFmt w:val="decimal"/>
      <w:isLgl/>
      <w:suff w:val="tab"/>
      <w:lvlText w:val="%7."/>
      <w:lvlJc w:val="left"/>
      <w:pPr>
        <w:ind w:left="5324" w:hanging="360"/>
        <w:tabs>
          <w:tab w:val="num" w:pos="0" w:leader="none"/>
        </w:tabs>
      </w:pPr>
    </w:lvl>
    <w:lvl w:ilvl="7">
      <w:start w:val="1"/>
      <w:numFmt w:val="lowerLetter"/>
      <w:isLgl/>
      <w:suff w:val="tab"/>
      <w:lvlText w:val="%8."/>
      <w:lvlJc w:val="left"/>
      <w:pPr>
        <w:ind w:left="6044" w:hanging="360"/>
        <w:tabs>
          <w:tab w:val="num" w:pos="0" w:leader="none"/>
        </w:tabs>
      </w:pPr>
    </w:lvl>
    <w:lvl w:ilvl="8">
      <w:start w:val="1"/>
      <w:numFmt w:val="lowerRoman"/>
      <w:isLgl/>
      <w:suff w:val="tab"/>
      <w:lvlText w:val="%9."/>
      <w:lvlJc w:val="right"/>
      <w:pPr>
        <w:ind w:left="6764" w:hanging="180"/>
        <w:tabs>
          <w:tab w:val="num" w:pos="0" w:leader="none"/>
        </w:tabs>
      </w:pPr>
    </w:lvl>
  </w:abstractNum>
  <w:num w:numId="1">
    <w:abstractNumId w:val="33"/>
  </w:num>
  <w:num w:numId="2">
    <w:abstractNumId w:val="31"/>
  </w:num>
  <w:num w:numId="3">
    <w:abstractNumId w:val="20"/>
  </w:num>
  <w:num w:numId="4">
    <w:abstractNumId w:val="43"/>
  </w:num>
  <w:num w:numId="5">
    <w:abstractNumId w:val="45"/>
  </w:num>
  <w:num w:numId="6">
    <w:abstractNumId w:val="11"/>
  </w:num>
  <w:num w:numId="7">
    <w:abstractNumId w:val="13"/>
  </w:num>
  <w:num w:numId="8">
    <w:abstractNumId w:val="1"/>
  </w:num>
  <w:num w:numId="9">
    <w:abstractNumId w:val="17"/>
  </w:num>
  <w:num w:numId="10">
    <w:abstractNumId w:val="4"/>
  </w:num>
  <w:num w:numId="11">
    <w:abstractNumId w:val="49"/>
  </w:num>
  <w:num w:numId="12">
    <w:abstractNumId w:val="47"/>
  </w:num>
  <w:num w:numId="13">
    <w:abstractNumId w:val="3"/>
  </w:num>
  <w:num w:numId="14">
    <w:abstractNumId w:val="18"/>
  </w:num>
  <w:num w:numId="15">
    <w:abstractNumId w:val="16"/>
  </w:num>
  <w:num w:numId="16">
    <w:abstractNumId w:val="2"/>
  </w:num>
  <w:num w:numId="17">
    <w:abstractNumId w:val="48"/>
  </w:num>
  <w:num w:numId="18">
    <w:abstractNumId w:val="19"/>
  </w:num>
  <w:num w:numId="19">
    <w:abstractNumId w:val="14"/>
  </w:num>
  <w:num w:numId="20">
    <w:abstractNumId w:val="38"/>
  </w:num>
  <w:num w:numId="21">
    <w:abstractNumId w:val="0"/>
  </w:num>
  <w:num w:numId="22">
    <w:abstractNumId w:val="15"/>
  </w:num>
  <w:num w:numId="23">
    <w:abstractNumId w:val="7"/>
  </w:num>
  <w:num w:numId="24">
    <w:abstractNumId w:val="27"/>
  </w:num>
  <w:num w:numId="25">
    <w:abstractNumId w:val="9"/>
  </w:num>
  <w:num w:numId="26">
    <w:abstractNumId w:val="30"/>
  </w:num>
  <w:num w:numId="27">
    <w:abstractNumId w:val="26"/>
  </w:num>
  <w:num w:numId="28">
    <w:abstractNumId w:val="36"/>
  </w:num>
  <w:num w:numId="29">
    <w:abstractNumId w:val="41"/>
  </w:num>
  <w:num w:numId="30">
    <w:abstractNumId w:val="50"/>
  </w:num>
  <w:num w:numId="31">
    <w:abstractNumId w:val="35"/>
  </w:num>
  <w:num w:numId="32">
    <w:abstractNumId w:val="44"/>
  </w:num>
  <w:num w:numId="33">
    <w:abstractNumId w:val="29"/>
  </w:num>
  <w:num w:numId="34">
    <w:abstractNumId w:val="12"/>
  </w:num>
  <w:num w:numId="35">
    <w:abstractNumId w:val="46"/>
  </w:num>
  <w:num w:numId="36">
    <w:abstractNumId w:val="8"/>
  </w:num>
  <w:num w:numId="37">
    <w:abstractNumId w:val="40"/>
  </w:num>
  <w:num w:numId="38">
    <w:abstractNumId w:val="10"/>
  </w:num>
  <w:num w:numId="39">
    <w:abstractNumId w:val="23"/>
  </w:num>
  <w:num w:numId="40">
    <w:abstractNumId w:val="37"/>
  </w:num>
  <w:num w:numId="41">
    <w:abstractNumId w:val="32"/>
  </w:num>
  <w:num w:numId="42">
    <w:abstractNumId w:val="5"/>
  </w:num>
  <w:num w:numId="43">
    <w:abstractNumId w:val="34"/>
  </w:num>
  <w:num w:numId="44">
    <w:abstractNumId w:val="25"/>
  </w:num>
  <w:num w:numId="45">
    <w:abstractNumId w:val="33"/>
  </w:num>
  <w:num w:numId="46">
    <w:abstractNumId w:val="33"/>
  </w:num>
  <w:num w:numId="47">
    <w:abstractNumId w:val="33"/>
  </w:num>
  <w:num w:numId="48">
    <w:abstractNumId w:val="33"/>
  </w:num>
  <w:num w:numId="49">
    <w:abstractNumId w:val="33"/>
  </w:num>
  <w:num w:numId="50">
    <w:abstractNumId w:val="33"/>
  </w:num>
  <w:num w:numId="51">
    <w:abstractNumId w:val="33"/>
  </w:num>
  <w:num w:numId="52">
    <w:abstractNumId w:val="33"/>
  </w:num>
  <w:num w:numId="53">
    <w:abstractNumId w:val="33"/>
  </w:num>
  <w:num w:numId="54">
    <w:abstractNumId w:val="33"/>
  </w:num>
  <w:num w:numId="55">
    <w:abstractNumId w:val="42"/>
    <w:lvlOverride w:ilvl="0">
      <w:startOverride w:val="1"/>
    </w:lvlOverride>
  </w:num>
  <w:num w:numId="56">
    <w:abstractNumId w:val="42"/>
  </w:num>
  <w:num w:numId="57">
    <w:abstractNumId w:val="42"/>
  </w:num>
  <w:num w:numId="58">
    <w:abstractNumId w:val="42"/>
  </w:num>
  <w:num w:numId="59">
    <w:abstractNumId w:val="28"/>
    <w:lvlOverride w:ilvl="0">
      <w:startOverride w:val="1"/>
    </w:lvlOverride>
  </w:num>
  <w:num w:numId="60">
    <w:abstractNumId w:val="28"/>
  </w:num>
  <w:num w:numId="61">
    <w:abstractNumId w:val="28"/>
  </w:num>
  <w:num w:numId="62">
    <w:abstractNumId w:val="22"/>
  </w:num>
  <w:num w:numId="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num>
  <w:num w:numId="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autoHyphenation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ahoma" w:cs="Noto Sans"/>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15" w:default="1">
    <w:name w:val="Normal"/>
    <w:qFormat/>
    <w:pPr>
      <w:jc w:val="both"/>
      <w:spacing w:after="60"/>
    </w:pPr>
    <w:rPr>
      <w:rFonts w:eastAsia="Times New Roman" w:cs="Times New Roman"/>
      <w:sz w:val="24"/>
      <w:szCs w:val="24"/>
    </w:rPr>
  </w:style>
  <w:style w:type="paragraph" w:styleId="1116">
    <w:name w:val="Heading 1"/>
    <w:basedOn w:val="1115"/>
    <w:next w:val="1115"/>
    <w:link w:val="1148"/>
    <w:qFormat/>
    <w:pPr>
      <w:ind w:left="432" w:hanging="432"/>
      <w:jc w:val="center"/>
      <w:keepNext/>
      <w:spacing w:before="240"/>
      <w:tabs>
        <w:tab w:val="left" w:pos="432" w:leader="none"/>
      </w:tabs>
      <w:outlineLvl w:val="0"/>
    </w:pPr>
    <w:rPr>
      <w:b/>
      <w:bCs/>
      <w:sz w:val="36"/>
      <w:szCs w:val="36"/>
    </w:rPr>
  </w:style>
  <w:style w:type="paragraph" w:styleId="1117">
    <w:name w:val="Heading 2"/>
    <w:basedOn w:val="1115"/>
    <w:next w:val="1115"/>
    <w:link w:val="1149"/>
    <w:qFormat/>
    <w:pPr>
      <w:ind w:left="576" w:hanging="576"/>
      <w:jc w:val="center"/>
      <w:keepNext/>
      <w:tabs>
        <w:tab w:val="left" w:pos="576" w:leader="none"/>
      </w:tabs>
      <w:outlineLvl w:val="1"/>
    </w:pPr>
    <w:rPr>
      <w:b/>
      <w:bCs/>
      <w:sz w:val="30"/>
      <w:szCs w:val="30"/>
    </w:rPr>
  </w:style>
  <w:style w:type="paragraph" w:styleId="1118">
    <w:name w:val="Heading 3"/>
    <w:basedOn w:val="1115"/>
    <w:next w:val="1115"/>
    <w:link w:val="1150"/>
    <w:uiPriority w:val="99"/>
    <w:qFormat/>
    <w:pPr>
      <w:ind w:left="142"/>
      <w:keepNext/>
      <w:spacing w:before="240"/>
      <w:tabs>
        <w:tab w:val="left" w:pos="312" w:leader="none"/>
      </w:tabs>
      <w:outlineLvl w:val="2"/>
    </w:pPr>
    <w:rPr>
      <w:rFonts w:ascii="Arial" w:hAnsi="Arial" w:cs="Arial"/>
      <w:b/>
      <w:bCs/>
    </w:rPr>
  </w:style>
  <w:style w:type="paragraph" w:styleId="1119">
    <w:name w:val="Heading 4"/>
    <w:basedOn w:val="1115"/>
    <w:next w:val="1115"/>
    <w:link w:val="1151"/>
    <w:uiPriority w:val="99"/>
    <w:qFormat/>
    <w:pPr>
      <w:ind w:left="1148" w:hanging="864"/>
      <w:keepNext/>
      <w:spacing w:before="240"/>
      <w:tabs>
        <w:tab w:val="left" w:pos="1148" w:leader="none"/>
      </w:tabs>
      <w:outlineLvl w:val="3"/>
    </w:pPr>
    <w:rPr>
      <w:rFonts w:ascii="Arial" w:hAnsi="Arial" w:cs="Arial"/>
    </w:rPr>
  </w:style>
  <w:style w:type="paragraph" w:styleId="1120">
    <w:name w:val="Heading 5"/>
    <w:basedOn w:val="1115"/>
    <w:next w:val="1115"/>
    <w:link w:val="1152"/>
    <w:qFormat/>
    <w:pPr>
      <w:spacing w:before="240"/>
      <w:outlineLvl w:val="4"/>
    </w:pPr>
    <w:rPr>
      <w:rFonts w:ascii="Calibri" w:hAnsi="Calibri" w:cs="Calibri"/>
      <w:b/>
      <w:bCs/>
      <w:i/>
      <w:iCs/>
      <w:sz w:val="26"/>
      <w:szCs w:val="26"/>
    </w:rPr>
  </w:style>
  <w:style w:type="paragraph" w:styleId="1121">
    <w:name w:val="Heading 6"/>
    <w:basedOn w:val="1115"/>
    <w:next w:val="1115"/>
    <w:link w:val="1153"/>
    <w:qFormat/>
    <w:pPr>
      <w:ind w:left="1152" w:hanging="1152"/>
      <w:spacing w:before="240"/>
      <w:tabs>
        <w:tab w:val="left" w:pos="1152" w:leader="none"/>
      </w:tabs>
      <w:outlineLvl w:val="5"/>
    </w:pPr>
    <w:rPr>
      <w:i/>
      <w:iCs/>
      <w:sz w:val="20"/>
      <w:szCs w:val="20"/>
    </w:rPr>
  </w:style>
  <w:style w:type="paragraph" w:styleId="1122">
    <w:name w:val="Heading 7"/>
    <w:basedOn w:val="1115"/>
    <w:next w:val="1115"/>
    <w:link w:val="1154"/>
    <w:uiPriority w:val="99"/>
    <w:qFormat/>
    <w:pPr>
      <w:ind w:left="1296" w:hanging="1296"/>
      <w:spacing w:before="240"/>
      <w:tabs>
        <w:tab w:val="left" w:pos="1296" w:leader="none"/>
      </w:tabs>
      <w:outlineLvl w:val="6"/>
    </w:pPr>
    <w:rPr>
      <w:rFonts w:ascii="Arial" w:hAnsi="Arial" w:cs="Arial"/>
      <w:sz w:val="20"/>
      <w:szCs w:val="20"/>
    </w:rPr>
  </w:style>
  <w:style w:type="paragraph" w:styleId="1123">
    <w:name w:val="Heading 8"/>
    <w:basedOn w:val="1115"/>
    <w:next w:val="1115"/>
    <w:link w:val="1155"/>
    <w:uiPriority w:val="99"/>
    <w:qFormat/>
    <w:pPr>
      <w:ind w:left="1440" w:hanging="1440"/>
      <w:spacing w:before="240"/>
      <w:tabs>
        <w:tab w:val="left" w:pos="1440" w:leader="none"/>
      </w:tabs>
      <w:outlineLvl w:val="7"/>
    </w:pPr>
    <w:rPr>
      <w:rFonts w:ascii="Arial" w:hAnsi="Arial" w:cs="Arial"/>
      <w:i/>
      <w:iCs/>
      <w:sz w:val="20"/>
      <w:szCs w:val="20"/>
    </w:rPr>
  </w:style>
  <w:style w:type="paragraph" w:styleId="1124">
    <w:name w:val="Heading 9"/>
    <w:basedOn w:val="1115"/>
    <w:next w:val="1115"/>
    <w:link w:val="1156"/>
    <w:uiPriority w:val="99"/>
    <w:qFormat/>
    <w:pPr>
      <w:ind w:left="1584" w:hanging="1584"/>
      <w:spacing w:before="240"/>
      <w:tabs>
        <w:tab w:val="left" w:pos="1584" w:leader="none"/>
      </w:tabs>
      <w:outlineLvl w:val="8"/>
    </w:pPr>
    <w:rPr>
      <w:rFonts w:ascii="Arial" w:hAnsi="Arial" w:cs="Arial"/>
      <w:b/>
      <w:bCs/>
      <w:i/>
      <w:iCs/>
      <w:sz w:val="18"/>
      <w:szCs w:val="18"/>
    </w:rPr>
  </w:style>
  <w:style w:type="character" w:styleId="1125" w:default="1">
    <w:name w:val="Default Paragraph Font"/>
    <w:uiPriority w:val="1"/>
    <w:unhideWhenUsed/>
  </w:style>
  <w:style w:type="table" w:styleId="1126" w:default="1">
    <w:name w:val="Normal Table"/>
    <w:uiPriority w:val="99"/>
    <w:semiHidden/>
    <w:unhideWhenUsed/>
    <w:tblPr>
      <w:tblInd w:w="0" w:type="dxa"/>
      <w:tblCellMar>
        <w:left w:w="108" w:type="dxa"/>
        <w:top w:w="0" w:type="dxa"/>
        <w:right w:w="108" w:type="dxa"/>
        <w:bottom w:w="0" w:type="dxa"/>
      </w:tblCellMar>
    </w:tblPr>
  </w:style>
  <w:style w:type="numbering" w:styleId="1127" w:default="1">
    <w:name w:val="No List"/>
    <w:uiPriority w:val="99"/>
    <w:semiHidden/>
    <w:unhideWhenUsed/>
  </w:style>
  <w:style w:type="character" w:styleId="1128" w:customStyle="1">
    <w:name w:val="Quote Char"/>
    <w:uiPriority w:val="29"/>
    <w:qFormat/>
    <w:rPr>
      <w:i/>
    </w:rPr>
  </w:style>
  <w:style w:type="character" w:styleId="1129" w:customStyle="1">
    <w:name w:val="Intense Quote Char"/>
    <w:uiPriority w:val="30"/>
    <w:qFormat/>
    <w:rPr>
      <w:i/>
    </w:rPr>
  </w:style>
  <w:style w:type="character" w:styleId="1130" w:customStyle="1">
    <w:name w:val="Heading 1 Char"/>
    <w:basedOn w:val="1125"/>
    <w:uiPriority w:val="9"/>
    <w:qFormat/>
    <w:rPr>
      <w:rFonts w:ascii="Arial" w:hAnsi="Arial" w:eastAsia="Arial" w:cs="Arial"/>
      <w:sz w:val="40"/>
      <w:szCs w:val="40"/>
    </w:rPr>
  </w:style>
  <w:style w:type="character" w:styleId="1131" w:customStyle="1">
    <w:name w:val="Heading 2 Char"/>
    <w:basedOn w:val="1125"/>
    <w:uiPriority w:val="9"/>
    <w:qFormat/>
    <w:rPr>
      <w:rFonts w:ascii="Arial" w:hAnsi="Arial" w:eastAsia="Arial" w:cs="Arial"/>
      <w:sz w:val="34"/>
    </w:rPr>
  </w:style>
  <w:style w:type="character" w:styleId="1132" w:customStyle="1">
    <w:name w:val="Heading 3 Char"/>
    <w:basedOn w:val="1125"/>
    <w:uiPriority w:val="9"/>
    <w:qFormat/>
    <w:rPr>
      <w:rFonts w:ascii="Arial" w:hAnsi="Arial" w:eastAsia="Arial" w:cs="Arial"/>
      <w:sz w:val="30"/>
      <w:szCs w:val="30"/>
    </w:rPr>
  </w:style>
  <w:style w:type="character" w:styleId="1133" w:customStyle="1">
    <w:name w:val="Heading 4 Char"/>
    <w:basedOn w:val="1125"/>
    <w:uiPriority w:val="9"/>
    <w:qFormat/>
    <w:rPr>
      <w:rFonts w:ascii="Arial" w:hAnsi="Arial" w:eastAsia="Arial" w:cs="Arial"/>
      <w:b/>
      <w:bCs/>
      <w:sz w:val="26"/>
      <w:szCs w:val="26"/>
    </w:rPr>
  </w:style>
  <w:style w:type="character" w:styleId="1134" w:customStyle="1">
    <w:name w:val="Heading 5 Char"/>
    <w:basedOn w:val="1125"/>
    <w:uiPriority w:val="9"/>
    <w:qFormat/>
    <w:rPr>
      <w:rFonts w:ascii="Arial" w:hAnsi="Arial" w:eastAsia="Arial" w:cs="Arial"/>
      <w:b/>
      <w:bCs/>
      <w:sz w:val="24"/>
      <w:szCs w:val="24"/>
    </w:rPr>
  </w:style>
  <w:style w:type="character" w:styleId="1135" w:customStyle="1">
    <w:name w:val="Heading 6 Char"/>
    <w:basedOn w:val="1125"/>
    <w:uiPriority w:val="9"/>
    <w:qFormat/>
    <w:rPr>
      <w:rFonts w:ascii="Arial" w:hAnsi="Arial" w:eastAsia="Arial" w:cs="Arial"/>
      <w:b/>
      <w:bCs/>
      <w:sz w:val="22"/>
      <w:szCs w:val="22"/>
    </w:rPr>
  </w:style>
  <w:style w:type="character" w:styleId="1136" w:customStyle="1">
    <w:name w:val="Heading 7 Char"/>
    <w:basedOn w:val="1125"/>
    <w:uiPriority w:val="9"/>
    <w:qFormat/>
    <w:rPr>
      <w:rFonts w:ascii="Arial" w:hAnsi="Arial" w:eastAsia="Arial" w:cs="Arial"/>
      <w:b/>
      <w:bCs/>
      <w:i/>
      <w:iCs/>
      <w:sz w:val="22"/>
      <w:szCs w:val="22"/>
    </w:rPr>
  </w:style>
  <w:style w:type="character" w:styleId="1137" w:customStyle="1">
    <w:name w:val="Heading 8 Char"/>
    <w:basedOn w:val="1125"/>
    <w:uiPriority w:val="9"/>
    <w:qFormat/>
    <w:rPr>
      <w:rFonts w:ascii="Arial" w:hAnsi="Arial" w:eastAsia="Arial" w:cs="Arial"/>
      <w:i/>
      <w:iCs/>
      <w:sz w:val="22"/>
      <w:szCs w:val="22"/>
    </w:rPr>
  </w:style>
  <w:style w:type="character" w:styleId="1138" w:customStyle="1">
    <w:name w:val="Heading 9 Char"/>
    <w:basedOn w:val="1125"/>
    <w:uiPriority w:val="9"/>
    <w:qFormat/>
    <w:rPr>
      <w:rFonts w:ascii="Arial" w:hAnsi="Arial" w:eastAsia="Arial" w:cs="Arial"/>
      <w:i/>
      <w:iCs/>
      <w:sz w:val="21"/>
      <w:szCs w:val="21"/>
    </w:rPr>
  </w:style>
  <w:style w:type="character" w:styleId="1139" w:customStyle="1">
    <w:name w:val="Title Char"/>
    <w:basedOn w:val="1125"/>
    <w:uiPriority w:val="10"/>
    <w:qFormat/>
    <w:rPr>
      <w:sz w:val="48"/>
      <w:szCs w:val="48"/>
    </w:rPr>
  </w:style>
  <w:style w:type="character" w:styleId="1140" w:customStyle="1">
    <w:name w:val="Subtitle Char"/>
    <w:basedOn w:val="1125"/>
    <w:uiPriority w:val="11"/>
    <w:qFormat/>
    <w:rPr>
      <w:sz w:val="24"/>
      <w:szCs w:val="24"/>
    </w:rPr>
  </w:style>
  <w:style w:type="character" w:styleId="1141" w:customStyle="1">
    <w:name w:val="Цитата 2 Знак"/>
    <w:link w:val="1249"/>
    <w:uiPriority w:val="29"/>
    <w:qFormat/>
    <w:rPr>
      <w:i/>
    </w:rPr>
  </w:style>
  <w:style w:type="character" w:styleId="1142" w:customStyle="1">
    <w:name w:val="Выделенная цитата Знак"/>
    <w:link w:val="1250"/>
    <w:uiPriority w:val="30"/>
    <w:qFormat/>
    <w:rPr>
      <w:i/>
    </w:rPr>
  </w:style>
  <w:style w:type="character" w:styleId="1143" w:customStyle="1">
    <w:name w:val="Header Char"/>
    <w:basedOn w:val="1125"/>
    <w:uiPriority w:val="99"/>
    <w:qFormat/>
  </w:style>
  <w:style w:type="character" w:styleId="1144" w:customStyle="1">
    <w:name w:val="Footer Char"/>
    <w:basedOn w:val="1125"/>
    <w:uiPriority w:val="99"/>
    <w:qFormat/>
  </w:style>
  <w:style w:type="character" w:styleId="1145" w:customStyle="1">
    <w:name w:val="Caption Char"/>
    <w:basedOn w:val="1125"/>
    <w:uiPriority w:val="35"/>
    <w:qFormat/>
    <w:rPr>
      <w:b/>
      <w:bCs/>
      <w:color w:val="4f81bd" w:themeColor="accent1"/>
      <w:sz w:val="18"/>
      <w:szCs w:val="18"/>
    </w:rPr>
  </w:style>
  <w:style w:type="character" w:styleId="1146" w:customStyle="1">
    <w:name w:val="Footnote Text Char"/>
    <w:uiPriority w:val="99"/>
    <w:qFormat/>
    <w:rPr>
      <w:sz w:val="18"/>
    </w:rPr>
  </w:style>
  <w:style w:type="character" w:styleId="1147" w:customStyle="1">
    <w:name w:val="Endnote Text Char"/>
    <w:uiPriority w:val="99"/>
    <w:qFormat/>
    <w:rPr>
      <w:sz w:val="20"/>
    </w:rPr>
  </w:style>
  <w:style w:type="character" w:styleId="1148" w:customStyle="1">
    <w:name w:val="Заголовок 1 Знак1"/>
    <w:link w:val="1116"/>
    <w:uiPriority w:val="99"/>
    <w:qFormat/>
    <w:rPr>
      <w:b/>
      <w:bCs/>
      <w:sz w:val="36"/>
      <w:szCs w:val="36"/>
    </w:rPr>
  </w:style>
  <w:style w:type="character" w:styleId="1149" w:customStyle="1">
    <w:name w:val="Заголовок 2 Знак"/>
    <w:link w:val="1117"/>
    <w:qFormat/>
    <w:rPr>
      <w:b/>
      <w:bCs/>
      <w:sz w:val="30"/>
      <w:szCs w:val="30"/>
    </w:rPr>
  </w:style>
  <w:style w:type="character" w:styleId="1150" w:customStyle="1">
    <w:name w:val="Заголовок 3 Знак"/>
    <w:link w:val="1118"/>
    <w:uiPriority w:val="99"/>
    <w:qFormat/>
    <w:rPr>
      <w:rFonts w:ascii="Arial" w:hAnsi="Arial" w:cs="Arial"/>
      <w:b/>
      <w:bCs/>
      <w:sz w:val="24"/>
      <w:szCs w:val="24"/>
    </w:rPr>
  </w:style>
  <w:style w:type="character" w:styleId="1151" w:customStyle="1">
    <w:name w:val="Заголовок 4 Знак"/>
    <w:link w:val="1119"/>
    <w:uiPriority w:val="99"/>
    <w:qFormat/>
    <w:rPr>
      <w:rFonts w:ascii="Arial" w:hAnsi="Arial" w:cs="Arial"/>
      <w:sz w:val="24"/>
      <w:szCs w:val="24"/>
    </w:rPr>
  </w:style>
  <w:style w:type="character" w:styleId="1152" w:customStyle="1">
    <w:name w:val="Заголовок 5 Знак"/>
    <w:link w:val="1120"/>
    <w:uiPriority w:val="99"/>
    <w:qFormat/>
    <w:rPr>
      <w:rFonts w:ascii="Calibri" w:hAnsi="Calibri" w:cs="Calibri"/>
      <w:b/>
      <w:bCs/>
      <w:i/>
      <w:iCs/>
      <w:sz w:val="26"/>
      <w:szCs w:val="26"/>
    </w:rPr>
  </w:style>
  <w:style w:type="character" w:styleId="1153" w:customStyle="1">
    <w:name w:val="Заголовок 6 Знак"/>
    <w:link w:val="1121"/>
    <w:uiPriority w:val="99"/>
    <w:qFormat/>
    <w:rPr>
      <w:i/>
      <w:iCs/>
    </w:rPr>
  </w:style>
  <w:style w:type="character" w:styleId="1154" w:customStyle="1">
    <w:name w:val="Заголовок 7 Знак"/>
    <w:link w:val="1122"/>
    <w:uiPriority w:val="99"/>
    <w:qFormat/>
    <w:rPr>
      <w:rFonts w:ascii="Arial" w:hAnsi="Arial" w:cs="Arial"/>
      <w:sz w:val="20"/>
      <w:szCs w:val="20"/>
    </w:rPr>
  </w:style>
  <w:style w:type="character" w:styleId="1155" w:customStyle="1">
    <w:name w:val="Заголовок 8 Знак"/>
    <w:link w:val="1123"/>
    <w:uiPriority w:val="99"/>
    <w:qFormat/>
    <w:rPr>
      <w:rFonts w:ascii="Arial" w:hAnsi="Arial" w:cs="Arial"/>
      <w:i/>
      <w:iCs/>
      <w:sz w:val="20"/>
      <w:szCs w:val="20"/>
    </w:rPr>
  </w:style>
  <w:style w:type="character" w:styleId="1156" w:customStyle="1">
    <w:name w:val="Заголовок 9 Знак"/>
    <w:link w:val="1124"/>
    <w:uiPriority w:val="99"/>
    <w:qFormat/>
    <w:rPr>
      <w:rFonts w:ascii="Arial" w:hAnsi="Arial" w:cs="Arial"/>
      <w:b/>
      <w:bCs/>
      <w:i/>
      <w:iCs/>
      <w:sz w:val="18"/>
      <w:szCs w:val="18"/>
    </w:rPr>
  </w:style>
  <w:style w:type="character" w:styleId="1157" w:customStyle="1">
    <w:name w:val="Основной текст с отступом Знак"/>
    <w:link w:val="1254"/>
    <w:uiPriority w:val="99"/>
    <w:qFormat/>
    <w:rPr>
      <w:rFonts w:eastAsia="Times New Roman" w:cs="Times New Roman"/>
      <w:sz w:val="24"/>
      <w:szCs w:val="24"/>
    </w:rPr>
  </w:style>
  <w:style w:type="character" w:styleId="1158" w:customStyle="1">
    <w:name w:val="Название Знак"/>
    <w:link w:val="1270"/>
    <w:uiPriority w:val="99"/>
    <w:qFormat/>
    <w:rPr>
      <w:rFonts w:ascii="Cambria" w:hAnsi="Cambria" w:cs="Cambria"/>
      <w:b/>
      <w:bCs/>
      <w:sz w:val="32"/>
      <w:szCs w:val="32"/>
    </w:rPr>
  </w:style>
  <w:style w:type="character" w:styleId="1159" w:customStyle="1">
    <w:name w:val="Подзаголовок Знак"/>
    <w:link w:val="1271"/>
    <w:uiPriority w:val="99"/>
    <w:qFormat/>
    <w:rPr>
      <w:rFonts w:ascii="Cambria" w:hAnsi="Cambria" w:cs="Cambria"/>
      <w:sz w:val="24"/>
      <w:szCs w:val="24"/>
    </w:rPr>
  </w:style>
  <w:style w:type="character" w:styleId="1160" w:customStyle="1">
    <w:name w:val="Дата Знак"/>
    <w:link w:val="1276"/>
    <w:uiPriority w:val="99"/>
    <w:qFormat/>
    <w:rPr>
      <w:sz w:val="24"/>
      <w:szCs w:val="24"/>
    </w:rPr>
  </w:style>
  <w:style w:type="character" w:styleId="1161" w:customStyle="1">
    <w:name w:val="Основной текст Знак"/>
    <w:link w:val="1241"/>
    <w:uiPriority w:val="99"/>
    <w:qFormat/>
    <w:rPr>
      <w:sz w:val="24"/>
      <w:szCs w:val="24"/>
    </w:rPr>
  </w:style>
  <w:style w:type="character" w:styleId="1162" w:customStyle="1">
    <w:name w:val="Основной текст с отступом 2 Знак"/>
    <w:link w:val="1280"/>
    <w:uiPriority w:val="99"/>
    <w:qFormat/>
    <w:rPr>
      <w:sz w:val="24"/>
      <w:szCs w:val="24"/>
    </w:rPr>
  </w:style>
  <w:style w:type="character" w:styleId="1163" w:customStyle="1">
    <w:name w:val="Основной текст с отступом 3 Знак"/>
    <w:link w:val="1281"/>
    <w:uiPriority w:val="99"/>
    <w:qFormat/>
    <w:rPr>
      <w:sz w:val="16"/>
      <w:szCs w:val="16"/>
    </w:rPr>
  </w:style>
  <w:style w:type="character" w:styleId="1164" w:customStyle="1">
    <w:name w:val="Верхний колонтитул Знак"/>
    <w:link w:val="1284"/>
    <w:uiPriority w:val="99"/>
    <w:qFormat/>
    <w:rPr>
      <w:sz w:val="24"/>
      <w:szCs w:val="24"/>
    </w:rPr>
  </w:style>
  <w:style w:type="character" w:styleId="1165" w:customStyle="1">
    <w:name w:val="Символ сноски"/>
    <w:qFormat/>
    <w:rPr>
      <w:rFonts w:ascii="Times New Roman" w:hAnsi="Times New Roman" w:cs="Times New Roman"/>
      <w:vertAlign w:val="superscript"/>
    </w:rPr>
  </w:style>
  <w:style w:type="character" w:styleId="1166">
    <w:name w:val="footnote reference"/>
    <w:rPr>
      <w:rFonts w:ascii="Times New Roman" w:hAnsi="Times New Roman" w:cs="Times New Roman"/>
      <w:vertAlign w:val="superscript"/>
    </w:rPr>
  </w:style>
  <w:style w:type="character" w:styleId="1167" w:customStyle="1">
    <w:name w:val="Текст сноски Знак"/>
    <w:link w:val="1286"/>
    <w:uiPriority w:val="99"/>
    <w:qFormat/>
    <w:rPr>
      <w:sz w:val="20"/>
      <w:szCs w:val="20"/>
    </w:rPr>
  </w:style>
  <w:style w:type="character" w:styleId="1168">
    <w:name w:val="page number"/>
    <w:uiPriority w:val="99"/>
    <w:rPr>
      <w:rFonts w:ascii="Times New Roman" w:hAnsi="Times New Roman" w:cs="Times New Roman"/>
    </w:rPr>
  </w:style>
  <w:style w:type="character" w:styleId="1169" w:customStyle="1">
    <w:name w:val="Нижний колонтитул Знак"/>
    <w:link w:val="1287"/>
    <w:qFormat/>
    <w:rPr>
      <w:sz w:val="24"/>
      <w:szCs w:val="24"/>
    </w:rPr>
  </w:style>
  <w:style w:type="character" w:styleId="1170" w:customStyle="1">
    <w:name w:val="Основной текст 3 Знак"/>
    <w:link w:val="1288"/>
    <w:uiPriority w:val="99"/>
    <w:qFormat/>
    <w:rPr>
      <w:sz w:val="16"/>
      <w:szCs w:val="16"/>
    </w:rPr>
  </w:style>
  <w:style w:type="character" w:styleId="1171" w:customStyle="1">
    <w:name w:val="Текст Знак"/>
    <w:link w:val="1289"/>
    <w:uiPriority w:val="99"/>
    <w:qFormat/>
    <w:rPr>
      <w:rFonts w:ascii="Courier New" w:hAnsi="Courier New" w:cs="Courier New"/>
      <w:sz w:val="20"/>
      <w:szCs w:val="20"/>
    </w:rPr>
  </w:style>
  <w:style w:type="character" w:styleId="1172" w:customStyle="1">
    <w:name w:val="Знак Знак"/>
    <w:uiPriority w:val="99"/>
    <w:semiHidden/>
    <w:qFormat/>
    <w:rPr>
      <w:rFonts w:ascii="Arial" w:hAnsi="Arial" w:cs="Arial"/>
      <w:sz w:val="24"/>
      <w:szCs w:val="24"/>
      <w:lang w:val="ru-RU" w:eastAsia="ru-RU"/>
    </w:rPr>
  </w:style>
  <w:style w:type="character" w:styleId="1173" w:customStyle="1">
    <w:name w:val="Основной шрифт"/>
    <w:uiPriority w:val="99"/>
    <w:semiHidden/>
    <w:qFormat/>
  </w:style>
  <w:style w:type="character" w:styleId="1174" w:customStyle="1">
    <w:name w:val="Адрес HTML Знак"/>
    <w:link w:val="1293"/>
    <w:uiPriority w:val="99"/>
    <w:qFormat/>
    <w:rPr>
      <w:i/>
      <w:iCs/>
      <w:sz w:val="24"/>
      <w:szCs w:val="24"/>
    </w:rPr>
  </w:style>
  <w:style w:type="character" w:styleId="1175">
    <w:name w:val="HTML Acronym"/>
    <w:basedOn w:val="1125"/>
    <w:uiPriority w:val="99"/>
    <w:qFormat/>
  </w:style>
  <w:style w:type="character" w:styleId="1176">
    <w:name w:val="Emphasis"/>
    <w:uiPriority w:val="99"/>
    <w:qFormat/>
    <w:rPr>
      <w:i/>
      <w:iCs/>
    </w:rPr>
  </w:style>
  <w:style w:type="character" w:styleId="1177">
    <w:name w:val="Hyperlink"/>
    <w:link w:val="1390"/>
    <w:uiPriority w:val="99"/>
    <w:qFormat/>
    <w:rPr>
      <w:color w:val="0563c1"/>
      <w:u w:val="single"/>
    </w:rPr>
  </w:style>
  <w:style w:type="character" w:styleId="1178" w:customStyle="1">
    <w:name w:val="Заголовок записки Знак"/>
    <w:link w:val="1295"/>
    <w:uiPriority w:val="99"/>
    <w:qFormat/>
    <w:rPr>
      <w:sz w:val="24"/>
      <w:szCs w:val="24"/>
    </w:rPr>
  </w:style>
  <w:style w:type="character" w:styleId="1179">
    <w:name w:val="HTML Keyboard"/>
    <w:uiPriority w:val="99"/>
    <w:qFormat/>
    <w:rPr>
      <w:rFonts w:ascii="Courier New" w:hAnsi="Courier New" w:cs="Courier New"/>
      <w:sz w:val="20"/>
      <w:szCs w:val="20"/>
    </w:rPr>
  </w:style>
  <w:style w:type="character" w:styleId="1180">
    <w:name w:val="HTML Code"/>
    <w:uiPriority w:val="99"/>
    <w:qFormat/>
    <w:rPr>
      <w:rFonts w:ascii="Courier New" w:hAnsi="Courier New" w:cs="Courier New"/>
      <w:sz w:val="20"/>
      <w:szCs w:val="20"/>
    </w:rPr>
  </w:style>
  <w:style w:type="character" w:styleId="1181" w:customStyle="1">
    <w:name w:val="Красная строка Знак"/>
    <w:basedOn w:val="1161"/>
    <w:link w:val="1296"/>
    <w:uiPriority w:val="99"/>
    <w:qFormat/>
    <w:rPr>
      <w:sz w:val="24"/>
      <w:szCs w:val="24"/>
    </w:rPr>
  </w:style>
  <w:style w:type="character" w:styleId="1182" w:customStyle="1">
    <w:name w:val="Красная строка 2 Знак"/>
    <w:basedOn w:val="1157"/>
    <w:link w:val="1297"/>
    <w:uiPriority w:val="99"/>
    <w:qFormat/>
    <w:rPr>
      <w:rFonts w:eastAsia="Times New Roman" w:cs="Times New Roman"/>
      <w:sz w:val="24"/>
      <w:szCs w:val="24"/>
    </w:rPr>
  </w:style>
  <w:style w:type="character" w:styleId="1183">
    <w:name w:val="line number"/>
    <w:basedOn w:val="1125"/>
    <w:uiPriority w:val="99"/>
  </w:style>
  <w:style w:type="character" w:styleId="1184">
    <w:name w:val="HTML Sample"/>
    <w:uiPriority w:val="99"/>
    <w:qFormat/>
    <w:rPr>
      <w:rFonts w:ascii="Courier New" w:hAnsi="Courier New" w:cs="Courier New"/>
    </w:rPr>
  </w:style>
  <w:style w:type="character" w:styleId="1185">
    <w:name w:val="HTML Definition"/>
    <w:uiPriority w:val="99"/>
    <w:qFormat/>
    <w:rPr>
      <w:i/>
      <w:iCs/>
    </w:rPr>
  </w:style>
  <w:style w:type="character" w:styleId="1186">
    <w:name w:val="HTML Variable"/>
    <w:uiPriority w:val="99"/>
    <w:qFormat/>
    <w:rPr>
      <w:i/>
      <w:iCs/>
    </w:rPr>
  </w:style>
  <w:style w:type="character" w:styleId="1187">
    <w:name w:val="HTML Typewriter"/>
    <w:uiPriority w:val="99"/>
    <w:qFormat/>
    <w:rPr>
      <w:rFonts w:ascii="Courier New" w:hAnsi="Courier New" w:cs="Courier New"/>
      <w:sz w:val="20"/>
      <w:szCs w:val="20"/>
    </w:rPr>
  </w:style>
  <w:style w:type="character" w:styleId="1188" w:customStyle="1">
    <w:name w:val="Подпись Знак"/>
    <w:link w:val="1300"/>
    <w:uiPriority w:val="99"/>
    <w:qFormat/>
    <w:rPr>
      <w:sz w:val="24"/>
      <w:szCs w:val="24"/>
    </w:rPr>
  </w:style>
  <w:style w:type="character" w:styleId="1189" w:customStyle="1">
    <w:name w:val="Приветствие Знак"/>
    <w:link w:val="1301"/>
    <w:uiPriority w:val="99"/>
    <w:qFormat/>
    <w:rPr>
      <w:sz w:val="24"/>
      <w:szCs w:val="24"/>
    </w:rPr>
  </w:style>
  <w:style w:type="character" w:styleId="1190">
    <w:name w:val="FollowedHyperlink"/>
    <w:uiPriority w:val="99"/>
    <w:rPr>
      <w:color w:val="800080"/>
      <w:u w:val="single"/>
    </w:rPr>
  </w:style>
  <w:style w:type="character" w:styleId="1191" w:customStyle="1">
    <w:name w:val="Прощание Знак"/>
    <w:link w:val="1307"/>
    <w:uiPriority w:val="99"/>
    <w:qFormat/>
    <w:rPr>
      <w:sz w:val="24"/>
      <w:szCs w:val="24"/>
    </w:rPr>
  </w:style>
  <w:style w:type="character" w:styleId="1192" w:customStyle="1">
    <w:name w:val="Стандартный HTML Знак"/>
    <w:link w:val="1312"/>
    <w:uiPriority w:val="99"/>
    <w:qFormat/>
    <w:rPr>
      <w:rFonts w:ascii="Courier New" w:hAnsi="Courier New" w:cs="Courier New"/>
      <w:sz w:val="20"/>
      <w:szCs w:val="20"/>
    </w:rPr>
  </w:style>
  <w:style w:type="character" w:styleId="1193">
    <w:name w:val="Strong"/>
    <w:uiPriority w:val="22"/>
    <w:qFormat/>
    <w:rPr>
      <w:b/>
      <w:bCs/>
    </w:rPr>
  </w:style>
  <w:style w:type="character" w:styleId="1194">
    <w:name w:val="HTML Cite"/>
    <w:uiPriority w:val="99"/>
    <w:qFormat/>
    <w:rPr>
      <w:i/>
      <w:iCs/>
    </w:rPr>
  </w:style>
  <w:style w:type="character" w:styleId="1195" w:customStyle="1">
    <w:name w:val="Шапка Знак"/>
    <w:link w:val="1313"/>
    <w:uiPriority w:val="99"/>
    <w:qFormat/>
    <w:rPr>
      <w:rFonts w:ascii="Cambria" w:hAnsi="Cambria" w:cs="Cambria"/>
      <w:sz w:val="24"/>
      <w:szCs w:val="24"/>
      <w:shd w:val="clear" w:color="auto" w:fill="cccccc"/>
    </w:rPr>
  </w:style>
  <w:style w:type="character" w:styleId="1196" w:customStyle="1">
    <w:name w:val="Электронная подпись Знак"/>
    <w:link w:val="1314"/>
    <w:uiPriority w:val="99"/>
    <w:qFormat/>
    <w:rPr>
      <w:sz w:val="24"/>
      <w:szCs w:val="24"/>
    </w:rPr>
  </w:style>
  <w:style w:type="character" w:styleId="1197" w:customStyle="1">
    <w:name w:val="Знак Знак1"/>
    <w:uiPriority w:val="99"/>
    <w:qFormat/>
    <w:rPr>
      <w:sz w:val="24"/>
      <w:szCs w:val="24"/>
      <w:lang w:val="ru-RU" w:eastAsia="ru-RU"/>
    </w:rPr>
  </w:style>
  <w:style w:type="character" w:styleId="1198" w:customStyle="1">
    <w:name w:val="Стиль3 Знак"/>
    <w:uiPriority w:val="99"/>
    <w:qFormat/>
    <w:rPr>
      <w:sz w:val="24"/>
      <w:szCs w:val="24"/>
      <w:lang w:val="ru-RU" w:eastAsia="ru-RU"/>
    </w:rPr>
  </w:style>
  <w:style w:type="character" w:styleId="1199" w:customStyle="1">
    <w:name w:val="Стиль3 Знак Знак"/>
    <w:uiPriority w:val="99"/>
    <w:qFormat/>
    <w:rPr>
      <w:sz w:val="24"/>
      <w:szCs w:val="24"/>
      <w:lang w:val="ru-RU" w:eastAsia="ru-RU"/>
    </w:rPr>
  </w:style>
  <w:style w:type="character" w:styleId="1200" w:customStyle="1">
    <w:name w:val="Текст выноски Знак"/>
    <w:link w:val="1334"/>
    <w:uiPriority w:val="99"/>
    <w:semiHidden/>
    <w:qFormat/>
    <w:rPr>
      <w:szCs w:val="2"/>
    </w:rPr>
  </w:style>
  <w:style w:type="character" w:styleId="1201" w:customStyle="1">
    <w:name w:val="label_body_text_1"/>
    <w:uiPriority w:val="99"/>
    <w:qFormat/>
  </w:style>
  <w:style w:type="character" w:styleId="1202" w:customStyle="1">
    <w:name w:val="Знак Знак11"/>
    <w:uiPriority w:val="99"/>
    <w:qFormat/>
    <w:rPr>
      <w:sz w:val="24"/>
      <w:szCs w:val="24"/>
      <w:lang w:val="ru-RU" w:eastAsia="ru-RU"/>
    </w:rPr>
  </w:style>
  <w:style w:type="character" w:styleId="1203">
    <w:name w:val="annotation reference"/>
    <w:uiPriority w:val="99"/>
    <w:semiHidden/>
    <w:qFormat/>
    <w:rPr>
      <w:sz w:val="16"/>
      <w:szCs w:val="16"/>
    </w:rPr>
  </w:style>
  <w:style w:type="character" w:styleId="1204" w:customStyle="1">
    <w:name w:val="Текст примечания Знак"/>
    <w:link w:val="1337"/>
    <w:uiPriority w:val="99"/>
    <w:qFormat/>
  </w:style>
  <w:style w:type="character" w:styleId="1205" w:customStyle="1">
    <w:name w:val="Тема примечания Знак"/>
    <w:link w:val="1338"/>
    <w:uiPriority w:val="99"/>
    <w:semiHidden/>
    <w:qFormat/>
    <w:rPr>
      <w:b/>
      <w:bCs/>
      <w:sz w:val="20"/>
      <w:szCs w:val="20"/>
    </w:rPr>
  </w:style>
  <w:style w:type="character" w:styleId="1206" w:customStyle="1">
    <w:name w:val="Заголовок 1 Знак"/>
    <w:qFormat/>
    <w:rPr>
      <w:b/>
      <w:bCs/>
      <w:sz w:val="36"/>
      <w:szCs w:val="36"/>
      <w:lang w:val="ru-RU" w:eastAsia="ru-RU"/>
    </w:rPr>
  </w:style>
  <w:style w:type="character" w:styleId="1207" w:customStyle="1">
    <w:name w:val="Схема документа Знак"/>
    <w:link w:val="1342"/>
    <w:uiPriority w:val="99"/>
    <w:semiHidden/>
    <w:qFormat/>
    <w:rPr>
      <w:sz w:val="2"/>
      <w:szCs w:val="2"/>
    </w:rPr>
  </w:style>
  <w:style w:type="character" w:styleId="1208" w:customStyle="1">
    <w:name w:val="Гипертекстовая ссылка"/>
    <w:uiPriority w:val="99"/>
    <w:qFormat/>
    <w:rPr>
      <w:b/>
      <w:bCs/>
      <w:color w:val="008000"/>
      <w:sz w:val="20"/>
      <w:szCs w:val="20"/>
      <w:u w:val="single"/>
    </w:rPr>
  </w:style>
  <w:style w:type="character" w:styleId="1209" w:customStyle="1">
    <w:name w:val="Текст концевой сноски Знак"/>
    <w:basedOn w:val="1125"/>
    <w:link w:val="1350"/>
    <w:uiPriority w:val="99"/>
    <w:qFormat/>
  </w:style>
  <w:style w:type="character" w:styleId="1210" w:customStyle="1">
    <w:name w:val="Символ концевой сноски"/>
    <w:qFormat/>
    <w:rPr>
      <w:vertAlign w:val="superscript"/>
    </w:rPr>
  </w:style>
  <w:style w:type="character" w:styleId="1211">
    <w:name w:val="endnote reference"/>
    <w:rPr>
      <w:vertAlign w:val="superscript"/>
    </w:rPr>
  </w:style>
  <w:style w:type="character" w:styleId="1212" w:customStyle="1">
    <w:name w:val="Font Style30"/>
    <w:uiPriority w:val="99"/>
    <w:qFormat/>
    <w:rPr>
      <w:rFonts w:ascii="Times New Roman" w:hAnsi="Times New Roman" w:cs="Times New Roman"/>
      <w:sz w:val="18"/>
      <w:szCs w:val="18"/>
    </w:rPr>
  </w:style>
  <w:style w:type="character" w:styleId="1213">
    <w:name w:val="Placeholder Text"/>
    <w:basedOn w:val="1125"/>
    <w:uiPriority w:val="99"/>
    <w:semiHidden/>
    <w:qFormat/>
    <w:rPr>
      <w:color w:val="808080"/>
    </w:rPr>
  </w:style>
  <w:style w:type="character" w:styleId="1214" w:customStyle="1">
    <w:name w:val="f"/>
    <w:basedOn w:val="1125"/>
    <w:qFormat/>
  </w:style>
  <w:style w:type="character" w:styleId="1215" w:customStyle="1">
    <w:name w:val="r"/>
    <w:basedOn w:val="1125"/>
    <w:qFormat/>
  </w:style>
  <w:style w:type="character" w:styleId="1216" w:customStyle="1">
    <w:name w:val="Основной текст 2 Знак"/>
    <w:basedOn w:val="1125"/>
    <w:link w:val="1353"/>
    <w:qFormat/>
    <w:rPr>
      <w:sz w:val="24"/>
      <w:szCs w:val="24"/>
    </w:rPr>
  </w:style>
  <w:style w:type="character" w:styleId="1217" w:customStyle="1">
    <w:name w:val="Пункт Знак1"/>
    <w:link w:val="1340"/>
    <w:uiPriority w:val="99"/>
    <w:qFormat/>
    <w:rPr>
      <w:sz w:val="24"/>
      <w:szCs w:val="24"/>
    </w:rPr>
  </w:style>
  <w:style w:type="character" w:styleId="1218" w:customStyle="1">
    <w:name w:val="Пункт-3 Знак"/>
    <w:link w:val="1433"/>
    <w:qFormat/>
    <w:rPr>
      <w:sz w:val="28"/>
    </w:rPr>
  </w:style>
  <w:style w:type="character" w:styleId="1219" w:customStyle="1">
    <w:name w:val="Основной текст (3)_"/>
    <w:basedOn w:val="1125"/>
    <w:link w:val="1359"/>
    <w:qFormat/>
    <w:rPr>
      <w:b/>
      <w:bCs/>
      <w:shd w:val="clear" w:color="auto" w:fill="ffffff"/>
    </w:rPr>
  </w:style>
  <w:style w:type="character" w:styleId="1220" w:customStyle="1">
    <w:name w:val="Абзац списка Знак"/>
    <w:basedOn w:val="1125"/>
    <w:link w:val="1352"/>
    <w:uiPriority w:val="34"/>
    <w:qFormat/>
    <w:rPr>
      <w:sz w:val="24"/>
      <w:szCs w:val="24"/>
    </w:rPr>
  </w:style>
  <w:style w:type="character" w:styleId="1221" w:customStyle="1">
    <w:name w:val="комментарий"/>
    <w:qFormat/>
    <w:rPr>
      <w:i/>
      <w:u w:val="none"/>
      <w:shd w:val="clear" w:color="auto" w:fill="ffff99"/>
    </w:rPr>
  </w:style>
  <w:style w:type="character" w:styleId="1222" w:customStyle="1">
    <w:name w:val="Ариал Знак1"/>
    <w:link w:val="1363"/>
    <w:qFormat/>
    <w:rPr>
      <w:rFonts w:ascii="Arial" w:hAnsi="Arial"/>
      <w:sz w:val="24"/>
    </w:rPr>
  </w:style>
  <w:style w:type="character" w:styleId="1223" w:customStyle="1">
    <w:name w:val="blk"/>
    <w:qFormat/>
  </w:style>
  <w:style w:type="character" w:styleId="1224" w:customStyle="1">
    <w:name w:val="Основной текст_"/>
    <w:link w:val="1428"/>
    <w:qFormat/>
    <w:rPr>
      <w:shd w:val="clear" w:color="auto" w:fill="ffffff"/>
    </w:rPr>
  </w:style>
  <w:style w:type="character" w:styleId="1225" w:customStyle="1">
    <w:name w:val="Font Style38"/>
    <w:basedOn w:val="1125"/>
    <w:uiPriority w:val="99"/>
    <w:qFormat/>
    <w:rPr>
      <w:rFonts w:ascii="Times New Roman" w:hAnsi="Times New Roman" w:cs="Times New Roman"/>
      <w:sz w:val="26"/>
      <w:szCs w:val="26"/>
    </w:rPr>
  </w:style>
  <w:style w:type="character" w:styleId="1226" w:customStyle="1">
    <w:name w:val="fontstyle01"/>
    <w:basedOn w:val="1125"/>
    <w:qFormat/>
    <w:rPr>
      <w:rFonts w:ascii="TimesNewRomanPSMT" w:hAnsi="TimesNewRomanPSMT"/>
      <w:b w:val="0"/>
      <w:bCs w:val="0"/>
      <w:i w:val="0"/>
      <w:iCs w:val="0"/>
      <w:color w:val="000000"/>
      <w:sz w:val="24"/>
      <w:szCs w:val="24"/>
    </w:rPr>
  </w:style>
  <w:style w:type="character" w:styleId="1227" w:customStyle="1">
    <w:name w:val="ConsPlusNormal Знак"/>
    <w:link w:val="1336"/>
    <w:uiPriority w:val="99"/>
    <w:qFormat/>
    <w:rPr>
      <w:rFonts w:ascii="Arial" w:hAnsi="Arial" w:cs="Arial"/>
    </w:rPr>
  </w:style>
  <w:style w:type="character" w:styleId="1228" w:customStyle="1">
    <w:name w:val="Font Style90"/>
    <w:uiPriority w:val="99"/>
    <w:qFormat/>
    <w:rPr>
      <w:rFonts w:ascii="Times New Roman" w:hAnsi="Times New Roman" w:cs="Times New Roman"/>
      <w:sz w:val="22"/>
      <w:szCs w:val="22"/>
    </w:rPr>
  </w:style>
  <w:style w:type="character" w:styleId="1229" w:customStyle="1">
    <w:name w:val="Ариал Таблица Знак"/>
    <w:link w:val="1384"/>
    <w:qFormat/>
    <w:rPr>
      <w:rFonts w:ascii="Arial" w:hAnsi="Arial" w:cs="Arial"/>
      <w:sz w:val="24"/>
    </w:rPr>
  </w:style>
  <w:style w:type="character" w:styleId="1230" w:customStyle="1">
    <w:name w:val="Font Style25"/>
    <w:uiPriority w:val="99"/>
    <w:qFormat/>
    <w:rPr>
      <w:rFonts w:ascii="Times New Roman" w:hAnsi="Times New Roman" w:cs="Times New Roman"/>
      <w:sz w:val="22"/>
      <w:szCs w:val="22"/>
    </w:rPr>
  </w:style>
  <w:style w:type="character" w:styleId="1231" w:customStyle="1">
    <w:name w:val="Font Style19"/>
    <w:uiPriority w:val="99"/>
    <w:qFormat/>
    <w:rPr>
      <w:rFonts w:ascii="Times New Roman" w:hAnsi="Times New Roman" w:cs="Times New Roman"/>
      <w:i/>
      <w:iCs/>
      <w:spacing w:val="20"/>
      <w:sz w:val="22"/>
      <w:szCs w:val="22"/>
    </w:rPr>
  </w:style>
  <w:style w:type="character" w:styleId="1232" w:customStyle="1">
    <w:name w:val="Font Style27"/>
    <w:uiPriority w:val="99"/>
    <w:qFormat/>
    <w:rPr>
      <w:rFonts w:ascii="Franklin Gothic Demi Cond" w:hAnsi="Franklin Gothic Demi Cond" w:cs="Franklin Gothic Demi Cond"/>
      <w:b/>
      <w:bCs/>
      <w:sz w:val="30"/>
      <w:szCs w:val="30"/>
    </w:rPr>
  </w:style>
  <w:style w:type="character" w:styleId="1233" w:customStyle="1">
    <w:name w:val="Font Style21"/>
    <w:basedOn w:val="1125"/>
    <w:uiPriority w:val="99"/>
    <w:qFormat/>
    <w:rPr>
      <w:rFonts w:ascii="Times New Roman" w:hAnsi="Times New Roman" w:cs="Times New Roman"/>
      <w:b/>
      <w:bCs/>
      <w:sz w:val="22"/>
      <w:szCs w:val="22"/>
    </w:rPr>
  </w:style>
  <w:style w:type="character" w:styleId="1234" w:customStyle="1">
    <w:name w:val="Font Style23"/>
    <w:basedOn w:val="1125"/>
    <w:uiPriority w:val="99"/>
    <w:qFormat/>
    <w:rPr>
      <w:rFonts w:ascii="Times New Roman" w:hAnsi="Times New Roman" w:cs="Times New Roman"/>
      <w:sz w:val="22"/>
      <w:szCs w:val="22"/>
    </w:rPr>
  </w:style>
  <w:style w:type="character" w:styleId="1235" w:customStyle="1">
    <w:name w:val="FTN _коммСтиль полужирный курсив Узор: Нет (Светло-желтый)"/>
    <w:qFormat/>
    <w:rPr>
      <w:rFonts w:ascii="Times New Roman" w:hAnsi="Times New Roman" w:cs="Times New Roman"/>
      <w:b/>
      <w:bCs/>
      <w:i/>
      <w:iCs/>
      <w:sz w:val="22"/>
      <w:shd w:val="clear" w:color="auto" w:fill="ffff99"/>
    </w:rPr>
  </w:style>
  <w:style w:type="character" w:styleId="1236" w:customStyle="1">
    <w:name w:val="Название объекта Знак"/>
    <w:basedOn w:val="1125"/>
    <w:link w:val="1243"/>
    <w:uiPriority w:val="35"/>
    <w:qFormat/>
    <w:rPr>
      <w:rFonts w:asciiTheme="minorHAnsi" w:hAnsiTheme="minorHAnsi" w:eastAsiaTheme="minorHAnsi" w:cstheme="minorBidi"/>
      <w:b/>
      <w:bCs/>
      <w:color w:val="4f81bd" w:themeColor="accent1"/>
      <w:sz w:val="18"/>
      <w:szCs w:val="18"/>
      <w:lang w:eastAsia="en-US"/>
    </w:rPr>
  </w:style>
  <w:style w:type="character" w:styleId="1237" w:customStyle="1">
    <w:name w:val="Обычный отступ Знак"/>
    <w:link w:val="1299"/>
    <w:qFormat/>
    <w:rPr>
      <w:sz w:val="24"/>
      <w:szCs w:val="24"/>
    </w:rPr>
  </w:style>
  <w:style w:type="character" w:styleId="1238" w:customStyle="1">
    <w:name w:val="Ссылка указателя"/>
    <w:qFormat/>
  </w:style>
  <w:style w:type="character" w:styleId="1239" w:customStyle="1">
    <w:name w:val="Стиль1 Знак"/>
    <w:link w:val="1321"/>
    <w:qFormat/>
    <w:rPr>
      <w:rFonts w:eastAsia="Times New Roman" w:cs="Times New Roman"/>
      <w:b/>
      <w:bCs/>
      <w:sz w:val="28"/>
      <w:szCs w:val="28"/>
    </w:rPr>
  </w:style>
  <w:style w:type="paragraph" w:styleId="1240" w:customStyle="1">
    <w:name w:val="Заголовок"/>
    <w:basedOn w:val="1115"/>
    <w:next w:val="1241"/>
    <w:qFormat/>
    <w:pPr>
      <w:keepNext/>
      <w:spacing w:before="240" w:after="120"/>
    </w:pPr>
    <w:rPr>
      <w:rFonts w:ascii="Liberation Sans" w:hAnsi="Liberation Sans" w:eastAsia="Noto Sans" w:cs="Noto Sans"/>
      <w:sz w:val="28"/>
      <w:szCs w:val="28"/>
    </w:rPr>
  </w:style>
  <w:style w:type="paragraph" w:styleId="1241">
    <w:name w:val="Body Text"/>
    <w:basedOn w:val="1115"/>
    <w:link w:val="1161"/>
    <w:uiPriority w:val="99"/>
    <w:pPr>
      <w:spacing w:after="120"/>
    </w:pPr>
  </w:style>
  <w:style w:type="paragraph" w:styleId="1242">
    <w:name w:val="List"/>
    <w:basedOn w:val="1115"/>
    <w:uiPriority w:val="99"/>
    <w:pPr>
      <w:ind w:left="283" w:hanging="283"/>
    </w:pPr>
  </w:style>
  <w:style w:type="paragraph" w:styleId="1243">
    <w:name w:val="Caption"/>
    <w:basedOn w:val="1115"/>
    <w:next w:val="1115"/>
    <w:link w:val="1236"/>
    <w:uiPriority w:val="35"/>
    <w:unhideWhenUsed/>
    <w:qFormat/>
    <w:pPr>
      <w:jc w:val="left"/>
      <w:spacing w:after="200"/>
    </w:pPr>
    <w:rPr>
      <w:rFonts w:asciiTheme="minorHAnsi" w:hAnsiTheme="minorHAnsi" w:eastAsiaTheme="minorHAnsi" w:cstheme="minorBidi"/>
      <w:b/>
      <w:bCs/>
      <w:color w:val="4f81bd" w:themeColor="accent1"/>
      <w:sz w:val="18"/>
      <w:szCs w:val="18"/>
      <w:lang w:eastAsia="en-US"/>
    </w:rPr>
  </w:style>
  <w:style w:type="paragraph" w:styleId="1244">
    <w:name w:val="index heading"/>
    <w:basedOn w:val="1245"/>
  </w:style>
  <w:style w:type="paragraph" w:styleId="1245" w:customStyle="1">
    <w:name w:val="Заголовок (user)"/>
    <w:basedOn w:val="1115"/>
    <w:next w:val="1241"/>
    <w:qFormat/>
    <w:pPr>
      <w:keepNext/>
      <w:spacing w:before="240" w:after="120"/>
    </w:pPr>
    <w:rPr>
      <w:rFonts w:ascii="Liberation Sans" w:hAnsi="Liberation Sans" w:eastAsia="Tahoma" w:cs="Noto Sans"/>
      <w:sz w:val="28"/>
      <w:szCs w:val="28"/>
    </w:rPr>
  </w:style>
  <w:style w:type="paragraph" w:styleId="1246" w:customStyle="1">
    <w:name w:val="Указатель (user)"/>
    <w:basedOn w:val="1115"/>
    <w:qFormat/>
    <w:pPr>
      <w:suppressLineNumbers/>
    </w:pPr>
    <w:rPr>
      <w:rFonts w:cs="Noto Sans"/>
    </w:rPr>
  </w:style>
  <w:style w:type="paragraph" w:styleId="1247" w:customStyle="1">
    <w:name w:val="Заголовок1"/>
    <w:basedOn w:val="1115"/>
    <w:next w:val="1241"/>
    <w:qFormat/>
    <w:pPr>
      <w:keepNext/>
      <w:spacing w:before="240" w:after="120"/>
    </w:pPr>
    <w:rPr>
      <w:rFonts w:ascii="Liberation Sans" w:hAnsi="Liberation Sans" w:eastAsia="Tahoma" w:cs="Noto Sans"/>
      <w:sz w:val="28"/>
      <w:szCs w:val="28"/>
    </w:rPr>
  </w:style>
  <w:style w:type="paragraph" w:styleId="1248" w:customStyle="1">
    <w:name w:val="Указатель1"/>
    <w:basedOn w:val="1115"/>
    <w:qFormat/>
    <w:pPr>
      <w:suppressLineNumbers/>
    </w:pPr>
    <w:rPr>
      <w:rFonts w:cs="Noto Sans"/>
    </w:rPr>
  </w:style>
  <w:style w:type="paragraph" w:styleId="1249">
    <w:name w:val="Quote"/>
    <w:basedOn w:val="1115"/>
    <w:next w:val="1115"/>
    <w:link w:val="1141"/>
    <w:uiPriority w:val="29"/>
    <w:qFormat/>
    <w:pPr>
      <w:ind w:left="720" w:right="720"/>
    </w:pPr>
    <w:rPr>
      <w:i/>
    </w:rPr>
  </w:style>
  <w:style w:type="paragraph" w:styleId="1250">
    <w:name w:val="Intense Quote"/>
    <w:basedOn w:val="1115"/>
    <w:next w:val="1115"/>
    <w:link w:val="1142"/>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251">
    <w:name w:val="TOC Heading"/>
    <w:uiPriority w:val="39"/>
    <w:unhideWhenUsed/>
    <w:qFormat/>
    <w:rPr>
      <w:rFonts w:eastAsia="Times New Roman" w:cs="Times New Roman"/>
    </w:rPr>
  </w:style>
  <w:style w:type="paragraph" w:styleId="1252">
    <w:name w:val="table of figures"/>
    <w:basedOn w:val="1115"/>
    <w:next w:val="1115"/>
    <w:uiPriority w:val="99"/>
    <w:unhideWhenUsed/>
    <w:pPr>
      <w:spacing w:after="0"/>
    </w:pPr>
  </w:style>
  <w:style w:type="paragraph" w:styleId="1253" w:customStyle="1">
    <w:name w:val="Основной текст с отступом1"/>
    <w:basedOn w:val="1115"/>
    <w:uiPriority w:val="99"/>
    <w:qFormat/>
    <w:pPr>
      <w:ind w:firstLine="851"/>
      <w:spacing w:before="60" w:after="0"/>
    </w:pPr>
  </w:style>
  <w:style w:type="paragraph" w:styleId="1254">
    <w:name w:val="Body Text Indent"/>
    <w:basedOn w:val="1115"/>
    <w:link w:val="1157"/>
    <w:uiPriority w:val="99"/>
    <w:pPr>
      <w:numPr>
        <w:ilvl w:val="1"/>
        <w:numId w:val="4"/>
      </w:numPr>
    </w:pPr>
  </w:style>
  <w:style w:type="paragraph" w:styleId="1255">
    <w:name w:val="List Bullet"/>
    <w:basedOn w:val="1115"/>
    <w:uiPriority w:val="99"/>
    <w:pPr>
      <w:widowControl w:val="off"/>
    </w:pPr>
  </w:style>
  <w:style w:type="paragraph" w:styleId="1256">
    <w:name w:val="List Bullet 2"/>
    <w:basedOn w:val="1115"/>
    <w:uiPriority w:val="99"/>
    <w:pPr>
      <w:ind w:left="643" w:hanging="360"/>
      <w:tabs>
        <w:tab w:val="left" w:pos="643" w:leader="none"/>
      </w:tabs>
    </w:pPr>
  </w:style>
  <w:style w:type="paragraph" w:styleId="1257">
    <w:name w:val="List Bullet 3"/>
    <w:basedOn w:val="1115"/>
    <w:uiPriority w:val="99"/>
    <w:pPr>
      <w:ind w:left="926" w:hanging="360"/>
      <w:tabs>
        <w:tab w:val="left" w:pos="643" w:leader="none"/>
        <w:tab w:val="left" w:pos="926" w:leader="none"/>
      </w:tabs>
    </w:pPr>
  </w:style>
  <w:style w:type="paragraph" w:styleId="1258">
    <w:name w:val="List Bullet 4"/>
    <w:basedOn w:val="1115"/>
    <w:uiPriority w:val="99"/>
    <w:pPr>
      <w:ind w:left="1209" w:hanging="360"/>
      <w:tabs>
        <w:tab w:val="left" w:pos="926" w:leader="none"/>
        <w:tab w:val="left" w:pos="1209" w:leader="none"/>
      </w:tabs>
    </w:pPr>
  </w:style>
  <w:style w:type="paragraph" w:styleId="1259">
    <w:name w:val="List Bullet 5"/>
    <w:basedOn w:val="1115"/>
    <w:uiPriority w:val="99"/>
    <w:pPr>
      <w:ind w:left="1492" w:hanging="360"/>
      <w:tabs>
        <w:tab w:val="left" w:pos="1209" w:leader="none"/>
        <w:tab w:val="left" w:pos="1492" w:leader="none"/>
      </w:tabs>
    </w:pPr>
  </w:style>
  <w:style w:type="paragraph" w:styleId="1260">
    <w:name w:val="List Number"/>
    <w:basedOn w:val="1115"/>
    <w:uiPriority w:val="99"/>
    <w:pPr>
      <w:ind w:left="360" w:hanging="360"/>
      <w:tabs>
        <w:tab w:val="left" w:pos="1492" w:leader="none"/>
      </w:tabs>
    </w:pPr>
  </w:style>
  <w:style w:type="paragraph" w:styleId="1261">
    <w:name w:val="List Number 2"/>
    <w:basedOn w:val="1115"/>
    <w:uiPriority w:val="99"/>
    <w:pPr>
      <w:ind w:left="643" w:hanging="360"/>
      <w:tabs>
        <w:tab w:val="left" w:pos="643" w:leader="none"/>
      </w:tabs>
    </w:pPr>
  </w:style>
  <w:style w:type="paragraph" w:styleId="1262">
    <w:name w:val="List Number 3"/>
    <w:basedOn w:val="1115"/>
    <w:uiPriority w:val="99"/>
    <w:pPr>
      <w:ind w:left="926" w:hanging="360"/>
      <w:tabs>
        <w:tab w:val="left" w:pos="643" w:leader="none"/>
        <w:tab w:val="left" w:pos="926" w:leader="none"/>
      </w:tabs>
    </w:pPr>
  </w:style>
  <w:style w:type="paragraph" w:styleId="1263">
    <w:name w:val="List Number 4"/>
    <w:basedOn w:val="1115"/>
    <w:uiPriority w:val="99"/>
    <w:pPr>
      <w:ind w:left="1209" w:hanging="360"/>
      <w:tabs>
        <w:tab w:val="left" w:pos="926" w:leader="none"/>
        <w:tab w:val="left" w:pos="1209" w:leader="none"/>
      </w:tabs>
    </w:pPr>
  </w:style>
  <w:style w:type="paragraph" w:styleId="1264">
    <w:name w:val="List Number 5"/>
    <w:basedOn w:val="1115"/>
    <w:uiPriority w:val="99"/>
    <w:pPr>
      <w:ind w:left="1492" w:hanging="360"/>
      <w:tabs>
        <w:tab w:val="left" w:pos="1209" w:leader="none"/>
        <w:tab w:val="left" w:pos="1492" w:leader="none"/>
      </w:tabs>
    </w:pPr>
  </w:style>
  <w:style w:type="paragraph" w:styleId="1265" w:customStyle="1">
    <w:name w:val="Раздел"/>
    <w:basedOn w:val="1115"/>
    <w:uiPriority w:val="99"/>
    <w:semiHidden/>
    <w:qFormat/>
    <w:pPr>
      <w:numPr>
        <w:ilvl w:val="1"/>
        <w:numId w:val="2"/>
      </w:numPr>
      <w:jc w:val="center"/>
      <w:spacing w:before="120" w:after="120"/>
    </w:pPr>
    <w:rPr>
      <w:rFonts w:ascii="Arial Narrow" w:hAnsi="Arial Narrow" w:cs="Arial Narrow"/>
      <w:b/>
      <w:bCs/>
      <w:sz w:val="28"/>
      <w:szCs w:val="28"/>
    </w:rPr>
  </w:style>
  <w:style w:type="paragraph" w:styleId="1266" w:customStyle="1">
    <w:name w:val="Часть"/>
    <w:basedOn w:val="1115"/>
    <w:uiPriority w:val="99"/>
    <w:semiHidden/>
    <w:qFormat/>
    <w:pPr>
      <w:jc w:val="center"/>
    </w:pPr>
    <w:rPr>
      <w:rFonts w:ascii="Arial" w:hAnsi="Arial" w:cs="Arial"/>
      <w:b/>
      <w:bCs/>
      <w:caps/>
      <w:sz w:val="32"/>
      <w:szCs w:val="32"/>
    </w:rPr>
  </w:style>
  <w:style w:type="paragraph" w:styleId="1267" w:customStyle="1">
    <w:name w:val="Раздел 3"/>
    <w:basedOn w:val="1115"/>
    <w:uiPriority w:val="99"/>
    <w:semiHidden/>
    <w:qFormat/>
    <w:pPr>
      <w:numPr>
        <w:ilvl w:val="0"/>
        <w:numId w:val="3"/>
      </w:numPr>
      <w:jc w:val="center"/>
      <w:spacing w:before="120" w:after="120"/>
    </w:pPr>
    <w:rPr>
      <w:b/>
      <w:bCs/>
    </w:rPr>
  </w:style>
  <w:style w:type="paragraph" w:styleId="1268" w:customStyle="1">
    <w:name w:val="Условия контракта"/>
    <w:basedOn w:val="1115"/>
    <w:uiPriority w:val="99"/>
    <w:semiHidden/>
    <w:qFormat/>
    <w:pPr>
      <w:numPr>
        <w:ilvl w:val="0"/>
        <w:numId w:val="4"/>
      </w:numPr>
      <w:spacing w:before="240" w:after="120"/>
    </w:pPr>
    <w:rPr>
      <w:b/>
      <w:bCs/>
    </w:rPr>
  </w:style>
  <w:style w:type="paragraph" w:styleId="1269" w:customStyle="1">
    <w:name w:val="Instruction"/>
    <w:basedOn w:val="1254"/>
    <w:uiPriority w:val="99"/>
    <w:semiHidden/>
    <w:qFormat/>
    <w:pPr>
      <w:numPr>
        <w:ilvl w:val="0"/>
        <w:numId w:val="0"/>
      </w:numPr>
      <w:ind w:left="360" w:hanging="360"/>
      <w:spacing w:before="180"/>
      <w:tabs>
        <w:tab w:val="left" w:pos="360" w:leader="none"/>
      </w:tabs>
    </w:pPr>
    <w:rPr>
      <w:b/>
      <w:bCs/>
    </w:rPr>
  </w:style>
  <w:style w:type="paragraph" w:styleId="1270">
    <w:name w:val="Title"/>
    <w:basedOn w:val="1115"/>
    <w:link w:val="1158"/>
    <w:uiPriority w:val="99"/>
    <w:qFormat/>
    <w:pPr>
      <w:jc w:val="center"/>
      <w:spacing w:before="240"/>
      <w:outlineLvl w:val="0"/>
    </w:pPr>
    <w:rPr>
      <w:rFonts w:ascii="Cambria" w:hAnsi="Cambria" w:cs="Cambria"/>
      <w:b/>
      <w:bCs/>
      <w:sz w:val="32"/>
      <w:szCs w:val="32"/>
    </w:rPr>
  </w:style>
  <w:style w:type="paragraph" w:styleId="1271">
    <w:name w:val="Subtitle"/>
    <w:basedOn w:val="1115"/>
    <w:link w:val="1159"/>
    <w:uiPriority w:val="99"/>
    <w:qFormat/>
    <w:pPr>
      <w:jc w:val="center"/>
      <w:outlineLvl w:val="1"/>
    </w:pPr>
    <w:rPr>
      <w:rFonts w:ascii="Cambria" w:hAnsi="Cambria" w:cs="Cambria"/>
    </w:rPr>
  </w:style>
  <w:style w:type="paragraph" w:styleId="1272" w:customStyle="1">
    <w:name w:val="Тендерные данные"/>
    <w:basedOn w:val="1115"/>
    <w:uiPriority w:val="99"/>
    <w:semiHidden/>
    <w:qFormat/>
    <w:pPr>
      <w:spacing w:before="120"/>
      <w:tabs>
        <w:tab w:val="left" w:pos="1985" w:leader="none"/>
      </w:tabs>
    </w:pPr>
    <w:rPr>
      <w:b/>
      <w:bCs/>
    </w:rPr>
  </w:style>
  <w:style w:type="paragraph" w:styleId="1273">
    <w:name w:val="toc 3"/>
    <w:basedOn w:val="1115"/>
    <w:next w:val="1115"/>
    <w:uiPriority w:val="39"/>
    <w:pPr>
      <w:ind w:left="480"/>
      <w:jc w:val="left"/>
      <w:spacing w:after="0"/>
    </w:pPr>
    <w:rPr>
      <w:i/>
      <w:iCs/>
      <w:sz w:val="20"/>
      <w:szCs w:val="20"/>
    </w:rPr>
  </w:style>
  <w:style w:type="paragraph" w:styleId="1274">
    <w:name w:val="toc 1"/>
    <w:basedOn w:val="1115"/>
    <w:next w:val="1115"/>
    <w:uiPriority w:val="39"/>
    <w:pPr>
      <w:jc w:val="left"/>
      <w:spacing w:before="120" w:after="120"/>
    </w:pPr>
    <w:rPr>
      <w:b/>
      <w:bCs/>
      <w:caps/>
      <w:sz w:val="20"/>
      <w:szCs w:val="20"/>
    </w:rPr>
  </w:style>
  <w:style w:type="paragraph" w:styleId="1275">
    <w:name w:val="toc 2"/>
    <w:basedOn w:val="1115"/>
    <w:next w:val="1115"/>
    <w:uiPriority w:val="39"/>
    <w:pPr>
      <w:ind w:left="240"/>
      <w:spacing w:after="0"/>
      <w:tabs>
        <w:tab w:val="left" w:pos="1440" w:leader="none"/>
        <w:tab w:val="right" w:pos="9348" w:leader="dot"/>
      </w:tabs>
    </w:pPr>
    <w:rPr>
      <w:smallCaps/>
      <w:sz w:val="20"/>
      <w:szCs w:val="20"/>
    </w:rPr>
  </w:style>
  <w:style w:type="paragraph" w:styleId="1276">
    <w:name w:val="Date"/>
    <w:basedOn w:val="1115"/>
    <w:next w:val="1115"/>
    <w:link w:val="1160"/>
    <w:uiPriority w:val="99"/>
    <w:qFormat/>
  </w:style>
  <w:style w:type="paragraph" w:styleId="1277" w:customStyle="1">
    <w:name w:val="Îáû÷íûé"/>
    <w:uiPriority w:val="99"/>
    <w:semiHidden/>
    <w:qFormat/>
    <w:rPr>
      <w:rFonts w:eastAsia="Times New Roman" w:cs="Times New Roman"/>
    </w:rPr>
  </w:style>
  <w:style w:type="paragraph" w:styleId="1278" w:customStyle="1">
    <w:name w:val="Íîðìàëüíûé"/>
    <w:uiPriority w:val="99"/>
    <w:semiHidden/>
    <w:qFormat/>
    <w:rPr>
      <w:rFonts w:ascii="Courier" w:hAnsi="Courier" w:eastAsia="Times New Roman" w:cs="Courier"/>
      <w:sz w:val="24"/>
      <w:szCs w:val="24"/>
      <w:lang w:val="en-GB"/>
    </w:rPr>
  </w:style>
  <w:style w:type="paragraph" w:styleId="1279" w:customStyle="1">
    <w:name w:val="Подраздел"/>
    <w:basedOn w:val="1115"/>
    <w:uiPriority w:val="99"/>
    <w:semiHidden/>
    <w:qFormat/>
    <w:pPr>
      <w:jc w:val="center"/>
      <w:spacing w:before="240" w:after="120"/>
    </w:pPr>
    <w:rPr>
      <w:rFonts w:ascii="TimesDL" w:hAnsi="TimesDL" w:cs="TimesDL"/>
      <w:b/>
      <w:bCs/>
      <w:smallCaps/>
      <w:spacing w:val="-2"/>
    </w:rPr>
  </w:style>
  <w:style w:type="paragraph" w:styleId="1280">
    <w:name w:val="Body Text Indent 2"/>
    <w:basedOn w:val="1115"/>
    <w:link w:val="1162"/>
    <w:uiPriority w:val="99"/>
    <w:qFormat/>
    <w:pPr>
      <w:ind w:left="283"/>
      <w:spacing w:after="120" w:line="480" w:lineRule="auto"/>
    </w:pPr>
  </w:style>
  <w:style w:type="paragraph" w:styleId="1281">
    <w:name w:val="Body Text Indent 3"/>
    <w:basedOn w:val="1115"/>
    <w:link w:val="1163"/>
    <w:uiPriority w:val="99"/>
    <w:qFormat/>
    <w:pPr>
      <w:ind w:left="283"/>
      <w:spacing w:after="120"/>
    </w:pPr>
    <w:rPr>
      <w:sz w:val="16"/>
      <w:szCs w:val="16"/>
    </w:rPr>
  </w:style>
  <w:style w:type="paragraph" w:styleId="1282" w:customStyle="1">
    <w:name w:val="Колонтитулы"/>
    <w:basedOn w:val="1115"/>
    <w:qFormat/>
  </w:style>
  <w:style w:type="paragraph" w:styleId="1283" w:customStyle="1">
    <w:name w:val="Header and Footer"/>
    <w:basedOn w:val="1115"/>
    <w:qFormat/>
  </w:style>
  <w:style w:type="paragraph" w:styleId="1284">
    <w:name w:val="Header"/>
    <w:basedOn w:val="1115"/>
    <w:link w:val="1164"/>
    <w:pPr>
      <w:spacing w:before="120" w:after="120"/>
      <w:tabs>
        <w:tab w:val="center" w:pos="4153" w:leader="none"/>
        <w:tab w:val="right" w:pos="8306" w:leader="none"/>
      </w:tabs>
    </w:pPr>
  </w:style>
  <w:style w:type="paragraph" w:styleId="1285">
    <w:name w:val="Block Text"/>
    <w:basedOn w:val="1115"/>
    <w:uiPriority w:val="99"/>
    <w:qFormat/>
    <w:pPr>
      <w:ind w:left="1440" w:right="1440"/>
      <w:spacing w:after="120"/>
    </w:pPr>
  </w:style>
  <w:style w:type="paragraph" w:styleId="1286">
    <w:name w:val="footnote text"/>
    <w:basedOn w:val="1115"/>
    <w:link w:val="1167"/>
    <w:uiPriority w:val="99"/>
    <w:qFormat/>
    <w:rPr>
      <w:sz w:val="20"/>
      <w:szCs w:val="20"/>
    </w:rPr>
  </w:style>
  <w:style w:type="paragraph" w:styleId="1287">
    <w:name w:val="Footer"/>
    <w:basedOn w:val="1115"/>
    <w:link w:val="1169"/>
    <w:pPr>
      <w:tabs>
        <w:tab w:val="center" w:pos="4153" w:leader="none"/>
        <w:tab w:val="right" w:pos="8306" w:leader="none"/>
      </w:tabs>
    </w:pPr>
  </w:style>
  <w:style w:type="paragraph" w:styleId="1288">
    <w:name w:val="Body Text 3"/>
    <w:basedOn w:val="1115"/>
    <w:link w:val="1170"/>
    <w:uiPriority w:val="99"/>
    <w:qFormat/>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sz w:val="16"/>
      <w:szCs w:val="16"/>
    </w:rPr>
  </w:style>
  <w:style w:type="paragraph" w:styleId="1289">
    <w:name w:val="Plain Text"/>
    <w:basedOn w:val="1115"/>
    <w:link w:val="1171"/>
    <w:uiPriority w:val="99"/>
    <w:qFormat/>
    <w:pPr>
      <w:jc w:val="left"/>
      <w:spacing w:after="0"/>
    </w:pPr>
    <w:rPr>
      <w:rFonts w:ascii="Courier New" w:hAnsi="Courier New" w:cs="Courier New"/>
      <w:sz w:val="20"/>
      <w:szCs w:val="20"/>
    </w:rPr>
  </w:style>
  <w:style w:type="paragraph" w:styleId="1290" w:customStyle="1">
    <w:name w:val="ConsNormal"/>
    <w:qFormat/>
    <w:pPr>
      <w:ind w:right="19772" w:firstLine="720"/>
      <w:widowControl w:val="off"/>
    </w:pPr>
    <w:rPr>
      <w:rFonts w:ascii="Arial" w:hAnsi="Arial" w:eastAsia="Times New Roman" w:cs="Arial"/>
    </w:rPr>
  </w:style>
  <w:style w:type="paragraph" w:styleId="1291">
    <w:name w:val="Normal (Web)"/>
    <w:basedOn w:val="1115"/>
    <w:uiPriority w:val="99"/>
    <w:qFormat/>
    <w:pPr>
      <w:jc w:val="left"/>
      <w:spacing w:beforeAutospacing="1" w:afterAutospacing="1"/>
    </w:pPr>
  </w:style>
  <w:style w:type="paragraph" w:styleId="1292" w:customStyle="1">
    <w:name w:val="ConsNonformat"/>
    <w:uiPriority w:val="99"/>
    <w:semiHidden/>
    <w:qFormat/>
    <w:pPr>
      <w:ind w:right="19772"/>
      <w:widowControl w:val="off"/>
    </w:pPr>
    <w:rPr>
      <w:rFonts w:ascii="Courier New" w:hAnsi="Courier New" w:eastAsia="Times New Roman" w:cs="Courier New"/>
    </w:rPr>
  </w:style>
  <w:style w:type="paragraph" w:styleId="1293">
    <w:name w:val="HTML Address"/>
    <w:basedOn w:val="1115"/>
    <w:link w:val="1174"/>
    <w:uiPriority w:val="99"/>
    <w:qFormat/>
    <w:rPr>
      <w:i/>
      <w:iCs/>
    </w:rPr>
  </w:style>
  <w:style w:type="paragraph" w:styleId="1294">
    <w:name w:val="envelope address"/>
    <w:basedOn w:val="1115"/>
    <w:uiPriority w:val="99"/>
    <w:pPr>
      <w:ind w:left="2880"/>
    </w:pPr>
    <w:rPr>
      <w:rFonts w:ascii="Arial" w:hAnsi="Arial" w:cs="Arial"/>
    </w:rPr>
  </w:style>
  <w:style w:type="paragraph" w:styleId="1295">
    <w:name w:val="Note Heading"/>
    <w:basedOn w:val="1115"/>
    <w:next w:val="1115"/>
    <w:link w:val="1178"/>
    <w:uiPriority w:val="99"/>
    <w:qFormat/>
  </w:style>
  <w:style w:type="paragraph" w:styleId="1296">
    <w:name w:val="Body Text First Indent"/>
    <w:basedOn w:val="1241"/>
    <w:link w:val="1181"/>
    <w:uiPriority w:val="99"/>
    <w:pPr>
      <w:ind w:firstLine="210"/>
    </w:pPr>
  </w:style>
  <w:style w:type="paragraph" w:styleId="1297">
    <w:name w:val="Body Text First Indent 2"/>
    <w:basedOn w:val="1253"/>
    <w:link w:val="1182"/>
    <w:uiPriority w:val="99"/>
    <w:qFormat/>
    <w:pPr>
      <w:ind w:left="283" w:firstLine="210"/>
      <w:spacing w:before="0" w:after="120"/>
    </w:pPr>
  </w:style>
  <w:style w:type="paragraph" w:styleId="1298">
    <w:name w:val="envelope return"/>
    <w:basedOn w:val="1115"/>
    <w:uiPriority w:val="99"/>
    <w:rPr>
      <w:rFonts w:ascii="Arial" w:hAnsi="Arial" w:cs="Arial"/>
      <w:sz w:val="20"/>
      <w:szCs w:val="20"/>
    </w:rPr>
  </w:style>
  <w:style w:type="paragraph" w:styleId="1299">
    <w:name w:val="Normal Indent"/>
    <w:basedOn w:val="1115"/>
    <w:link w:val="1237"/>
    <w:qFormat/>
    <w:pPr>
      <w:ind w:left="708"/>
    </w:pPr>
  </w:style>
  <w:style w:type="paragraph" w:styleId="1300">
    <w:name w:val="Signature"/>
    <w:basedOn w:val="1115"/>
    <w:link w:val="1188"/>
    <w:uiPriority w:val="99"/>
    <w:pPr>
      <w:ind w:left="4252"/>
    </w:pPr>
  </w:style>
  <w:style w:type="paragraph" w:styleId="1301">
    <w:name w:val="Salutation"/>
    <w:basedOn w:val="1115"/>
    <w:next w:val="1115"/>
    <w:link w:val="1189"/>
    <w:uiPriority w:val="99"/>
  </w:style>
  <w:style w:type="paragraph" w:styleId="1302">
    <w:name w:val="List Continue"/>
    <w:basedOn w:val="1115"/>
    <w:uiPriority w:val="99"/>
    <w:pPr>
      <w:ind w:left="283"/>
      <w:spacing w:after="120"/>
    </w:pPr>
  </w:style>
  <w:style w:type="paragraph" w:styleId="1303">
    <w:name w:val="List Continue 2"/>
    <w:basedOn w:val="1115"/>
    <w:uiPriority w:val="99"/>
    <w:pPr>
      <w:ind w:left="566"/>
      <w:spacing w:after="120"/>
    </w:pPr>
  </w:style>
  <w:style w:type="paragraph" w:styleId="1304">
    <w:name w:val="List Continue 3"/>
    <w:basedOn w:val="1115"/>
    <w:uiPriority w:val="99"/>
    <w:pPr>
      <w:ind w:left="849"/>
      <w:spacing w:after="120"/>
    </w:pPr>
  </w:style>
  <w:style w:type="paragraph" w:styleId="1305">
    <w:name w:val="List Continue 4"/>
    <w:basedOn w:val="1115"/>
    <w:uiPriority w:val="99"/>
    <w:pPr>
      <w:ind w:left="1132"/>
      <w:spacing w:after="120"/>
    </w:pPr>
  </w:style>
  <w:style w:type="paragraph" w:styleId="1306">
    <w:name w:val="List Continue 5"/>
    <w:basedOn w:val="1115"/>
    <w:uiPriority w:val="99"/>
    <w:pPr>
      <w:ind w:left="1415"/>
      <w:spacing w:after="120"/>
    </w:pPr>
  </w:style>
  <w:style w:type="paragraph" w:styleId="1307">
    <w:name w:val="Closing"/>
    <w:basedOn w:val="1115"/>
    <w:link w:val="1191"/>
    <w:uiPriority w:val="99"/>
    <w:pPr>
      <w:ind w:left="4252"/>
    </w:pPr>
  </w:style>
  <w:style w:type="paragraph" w:styleId="1308">
    <w:name w:val="List 2"/>
    <w:basedOn w:val="1115"/>
    <w:uiPriority w:val="99"/>
    <w:qFormat/>
    <w:pPr>
      <w:ind w:left="566" w:hanging="283"/>
    </w:pPr>
  </w:style>
  <w:style w:type="paragraph" w:styleId="1309">
    <w:name w:val="List 3"/>
    <w:basedOn w:val="1115"/>
    <w:uiPriority w:val="99"/>
    <w:qFormat/>
    <w:pPr>
      <w:ind w:left="849" w:hanging="283"/>
    </w:pPr>
  </w:style>
  <w:style w:type="paragraph" w:styleId="1310">
    <w:name w:val="List 4"/>
    <w:basedOn w:val="1115"/>
    <w:uiPriority w:val="99"/>
    <w:qFormat/>
    <w:pPr>
      <w:ind w:left="1132" w:hanging="283"/>
    </w:pPr>
  </w:style>
  <w:style w:type="paragraph" w:styleId="1311">
    <w:name w:val="List 5"/>
    <w:basedOn w:val="1115"/>
    <w:uiPriority w:val="99"/>
    <w:qFormat/>
    <w:pPr>
      <w:ind w:left="1415" w:hanging="283"/>
    </w:pPr>
  </w:style>
  <w:style w:type="paragraph" w:styleId="1312">
    <w:name w:val="HTML Preformatted"/>
    <w:basedOn w:val="1115"/>
    <w:link w:val="1192"/>
    <w:uiPriority w:val="99"/>
    <w:qFormat/>
    <w:rPr>
      <w:rFonts w:ascii="Courier New" w:hAnsi="Courier New" w:cs="Courier New"/>
      <w:sz w:val="20"/>
      <w:szCs w:val="20"/>
    </w:rPr>
  </w:style>
  <w:style w:type="paragraph" w:styleId="1313">
    <w:name w:val="Message Header"/>
    <w:basedOn w:val="1115"/>
    <w:link w:val="1195"/>
    <w:uiPriority w:val="99"/>
    <w:qFormat/>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Cambria" w:hAnsi="Cambria" w:cs="Cambria"/>
    </w:rPr>
  </w:style>
  <w:style w:type="paragraph" w:styleId="1314">
    <w:name w:val="E-mail Signature"/>
    <w:basedOn w:val="1115"/>
    <w:link w:val="1196"/>
    <w:uiPriority w:val="99"/>
    <w:qFormat/>
  </w:style>
  <w:style w:type="paragraph" w:styleId="1315">
    <w:name w:val="toc 4"/>
    <w:basedOn w:val="1115"/>
    <w:next w:val="1115"/>
    <w:uiPriority w:val="39"/>
    <w:pPr>
      <w:ind w:left="720"/>
      <w:jc w:val="left"/>
      <w:spacing w:after="0"/>
    </w:pPr>
    <w:rPr>
      <w:sz w:val="18"/>
      <w:szCs w:val="18"/>
    </w:rPr>
  </w:style>
  <w:style w:type="paragraph" w:styleId="1316">
    <w:name w:val="toc 5"/>
    <w:basedOn w:val="1115"/>
    <w:next w:val="1115"/>
    <w:uiPriority w:val="39"/>
    <w:pPr>
      <w:ind w:left="960"/>
      <w:jc w:val="left"/>
      <w:spacing w:after="0"/>
    </w:pPr>
    <w:rPr>
      <w:sz w:val="18"/>
      <w:szCs w:val="18"/>
    </w:rPr>
  </w:style>
  <w:style w:type="paragraph" w:styleId="1317">
    <w:name w:val="toc 6"/>
    <w:basedOn w:val="1115"/>
    <w:next w:val="1115"/>
    <w:uiPriority w:val="39"/>
    <w:pPr>
      <w:ind w:left="1200"/>
      <w:jc w:val="left"/>
      <w:spacing w:after="0"/>
    </w:pPr>
    <w:rPr>
      <w:sz w:val="18"/>
      <w:szCs w:val="18"/>
    </w:rPr>
  </w:style>
  <w:style w:type="paragraph" w:styleId="1318">
    <w:name w:val="toc 7"/>
    <w:basedOn w:val="1115"/>
    <w:next w:val="1115"/>
    <w:uiPriority w:val="39"/>
    <w:pPr>
      <w:ind w:left="1440"/>
      <w:jc w:val="left"/>
      <w:spacing w:after="0"/>
    </w:pPr>
    <w:rPr>
      <w:sz w:val="18"/>
      <w:szCs w:val="18"/>
    </w:rPr>
  </w:style>
  <w:style w:type="paragraph" w:styleId="1319">
    <w:name w:val="toc 8"/>
    <w:basedOn w:val="1115"/>
    <w:next w:val="1115"/>
    <w:uiPriority w:val="39"/>
    <w:pPr>
      <w:ind w:left="1680"/>
      <w:jc w:val="left"/>
      <w:spacing w:after="0"/>
    </w:pPr>
    <w:rPr>
      <w:sz w:val="18"/>
      <w:szCs w:val="18"/>
    </w:rPr>
  </w:style>
  <w:style w:type="paragraph" w:styleId="1320">
    <w:name w:val="toc 9"/>
    <w:basedOn w:val="1115"/>
    <w:next w:val="1115"/>
    <w:uiPriority w:val="39"/>
    <w:pPr>
      <w:ind w:left="1920"/>
      <w:jc w:val="left"/>
      <w:spacing w:after="0"/>
    </w:pPr>
    <w:rPr>
      <w:sz w:val="18"/>
      <w:szCs w:val="18"/>
    </w:rPr>
  </w:style>
  <w:style w:type="paragraph" w:styleId="1321" w:customStyle="1">
    <w:name w:val="Стиль1"/>
    <w:basedOn w:val="1115"/>
    <w:link w:val="1239"/>
    <w:qFormat/>
    <w:pPr>
      <w:numPr>
        <w:ilvl w:val="0"/>
        <w:numId w:val="5"/>
      </w:numPr>
      <w:jc w:val="left"/>
      <w:keepLines/>
      <w:keepNext/>
      <w:widowControl w:val="off"/>
      <w:suppressLineNumbers/>
    </w:pPr>
    <w:rPr>
      <w:b/>
      <w:bCs/>
      <w:sz w:val="28"/>
      <w:szCs w:val="28"/>
    </w:rPr>
  </w:style>
  <w:style w:type="paragraph" w:styleId="1322" w:customStyle="1">
    <w:name w:val="содержание2-1"/>
    <w:basedOn w:val="1118"/>
    <w:next w:val="1115"/>
    <w:uiPriority w:val="99"/>
    <w:qFormat/>
  </w:style>
  <w:style w:type="paragraph" w:styleId="1323" w:customStyle="1">
    <w:name w:val="Заголовок 2.1"/>
    <w:basedOn w:val="1116"/>
    <w:uiPriority w:val="99"/>
    <w:qFormat/>
    <w:pPr>
      <w:keepLines/>
      <w:widowControl w:val="off"/>
      <w:suppressLineNumbers/>
    </w:pPr>
    <w:rPr>
      <w:caps/>
    </w:rPr>
  </w:style>
  <w:style w:type="paragraph" w:styleId="1324" w:customStyle="1">
    <w:name w:val="Стиль2"/>
    <w:basedOn w:val="1261"/>
    <w:uiPriority w:val="99"/>
    <w:qFormat/>
    <w:pPr>
      <w:numPr>
        <w:ilvl w:val="1"/>
        <w:numId w:val="5"/>
      </w:numPr>
      <w:keepLines/>
      <w:keepNext/>
      <w:widowControl w:val="off"/>
      <w:tabs>
        <w:tab w:val="left" w:pos="1492" w:leader="none"/>
      </w:tabs>
      <w:suppressLineNumbers/>
    </w:pPr>
    <w:rPr>
      <w:b/>
      <w:bCs/>
    </w:rPr>
  </w:style>
  <w:style w:type="paragraph" w:styleId="1325" w:customStyle="1">
    <w:name w:val="Стиль3"/>
    <w:basedOn w:val="1280"/>
    <w:uiPriority w:val="99"/>
    <w:qFormat/>
    <w:pPr>
      <w:numPr>
        <w:ilvl w:val="2"/>
        <w:numId w:val="5"/>
      </w:numPr>
      <w:spacing w:after="0" w:line="240" w:lineRule="auto"/>
      <w:widowControl w:val="off"/>
    </w:pPr>
  </w:style>
  <w:style w:type="paragraph" w:styleId="1326" w:customStyle="1">
    <w:name w:val="содержание2-11"/>
    <w:basedOn w:val="1115"/>
    <w:uiPriority w:val="99"/>
    <w:qFormat/>
  </w:style>
  <w:style w:type="paragraph" w:styleId="1327" w:customStyle="1">
    <w:name w:val="Стиль4"/>
    <w:basedOn w:val="1117"/>
    <w:next w:val="1115"/>
    <w:uiPriority w:val="99"/>
    <w:qFormat/>
    <w:pPr>
      <w:ind w:firstLine="567"/>
      <w:keepLines/>
      <w:widowControl w:val="off"/>
      <w:suppressLineNumbers/>
    </w:pPr>
  </w:style>
  <w:style w:type="paragraph" w:styleId="1328" w:customStyle="1">
    <w:name w:val="Таблица заголовок"/>
    <w:basedOn w:val="1115"/>
    <w:uiPriority w:val="99"/>
    <w:qFormat/>
    <w:pPr>
      <w:jc w:val="right"/>
      <w:spacing w:before="120" w:after="120" w:line="360" w:lineRule="auto"/>
    </w:pPr>
    <w:rPr>
      <w:b/>
      <w:bCs/>
      <w:sz w:val="28"/>
      <w:szCs w:val="28"/>
    </w:rPr>
  </w:style>
  <w:style w:type="paragraph" w:styleId="1329" w:customStyle="1">
    <w:name w:val="текст таблицы"/>
    <w:basedOn w:val="1115"/>
    <w:uiPriority w:val="99"/>
    <w:qFormat/>
    <w:pPr>
      <w:ind w:right="-102"/>
      <w:jc w:val="left"/>
      <w:spacing w:before="120" w:after="0"/>
    </w:pPr>
  </w:style>
  <w:style w:type="paragraph" w:styleId="1330" w:customStyle="1">
    <w:name w:val="Пункт Знак"/>
    <w:basedOn w:val="1115"/>
    <w:uiPriority w:val="99"/>
    <w:qFormat/>
    <w:pPr>
      <w:ind w:left="1134" w:hanging="567"/>
      <w:spacing w:after="0" w:line="360" w:lineRule="auto"/>
      <w:tabs>
        <w:tab w:val="left" w:pos="1134" w:leader="none"/>
        <w:tab w:val="left" w:pos="1701" w:leader="none"/>
      </w:tabs>
    </w:pPr>
    <w:rPr>
      <w:sz w:val="28"/>
      <w:szCs w:val="28"/>
    </w:rPr>
  </w:style>
  <w:style w:type="paragraph" w:styleId="1331" w:customStyle="1">
    <w:name w:val="a"/>
    <w:basedOn w:val="1115"/>
    <w:uiPriority w:val="99"/>
    <w:qFormat/>
    <w:pPr>
      <w:ind w:left="1134" w:hanging="567"/>
      <w:spacing w:after="0" w:line="360" w:lineRule="auto"/>
    </w:pPr>
    <w:rPr>
      <w:sz w:val="28"/>
      <w:szCs w:val="28"/>
    </w:rPr>
  </w:style>
  <w:style w:type="paragraph" w:styleId="1332" w:customStyle="1">
    <w:name w:val="Словарная статья"/>
    <w:basedOn w:val="1115"/>
    <w:next w:val="1115"/>
    <w:uiPriority w:val="99"/>
    <w:qFormat/>
    <w:pPr>
      <w:ind w:right="118"/>
      <w:spacing w:after="0"/>
    </w:pPr>
    <w:rPr>
      <w:rFonts w:ascii="Arial" w:hAnsi="Arial" w:cs="Arial"/>
      <w:sz w:val="20"/>
      <w:szCs w:val="20"/>
    </w:rPr>
  </w:style>
  <w:style w:type="paragraph" w:styleId="1333" w:customStyle="1">
    <w:name w:val="Комментарий пользователя"/>
    <w:basedOn w:val="1115"/>
    <w:next w:val="1115"/>
    <w:uiPriority w:val="99"/>
    <w:qFormat/>
    <w:pPr>
      <w:ind w:left="170"/>
      <w:jc w:val="left"/>
      <w:spacing w:after="0"/>
    </w:pPr>
    <w:rPr>
      <w:rFonts w:ascii="Arial" w:hAnsi="Arial" w:cs="Arial"/>
      <w:i/>
      <w:iCs/>
      <w:color w:val="000080"/>
      <w:sz w:val="20"/>
      <w:szCs w:val="20"/>
    </w:rPr>
  </w:style>
  <w:style w:type="paragraph" w:styleId="1334">
    <w:name w:val="Balloon Text"/>
    <w:basedOn w:val="1115"/>
    <w:link w:val="1200"/>
    <w:uiPriority w:val="99"/>
    <w:semiHidden/>
    <w:qFormat/>
    <w:rPr>
      <w:sz w:val="20"/>
      <w:szCs w:val="2"/>
    </w:rPr>
  </w:style>
  <w:style w:type="paragraph" w:styleId="1335" w:customStyle="1">
    <w:name w:val="Заголовок 1.Document Header1"/>
    <w:basedOn w:val="1115"/>
    <w:next w:val="1115"/>
    <w:uiPriority w:val="99"/>
    <w:qFormat/>
    <w:pPr>
      <w:jc w:val="center"/>
      <w:keepNext/>
      <w:spacing w:before="240"/>
      <w:outlineLvl w:val="0"/>
    </w:pPr>
    <w:rPr>
      <w:sz w:val="36"/>
      <w:szCs w:val="36"/>
    </w:rPr>
  </w:style>
  <w:style w:type="paragraph" w:styleId="1336" w:customStyle="1">
    <w:name w:val="ConsPlusNormal"/>
    <w:link w:val="1227"/>
    <w:uiPriority w:val="99"/>
    <w:qFormat/>
    <w:pPr>
      <w:ind w:firstLine="720"/>
      <w:widowControl w:val="off"/>
    </w:pPr>
    <w:rPr>
      <w:rFonts w:ascii="Arial" w:hAnsi="Arial" w:eastAsia="Times New Roman" w:cs="Arial"/>
    </w:rPr>
  </w:style>
  <w:style w:type="paragraph" w:styleId="1337">
    <w:name w:val="annotation text"/>
    <w:basedOn w:val="1115"/>
    <w:link w:val="1204"/>
    <w:uiPriority w:val="99"/>
    <w:qFormat/>
    <w:rPr>
      <w:sz w:val="20"/>
      <w:szCs w:val="20"/>
    </w:rPr>
  </w:style>
  <w:style w:type="paragraph" w:styleId="1338">
    <w:name w:val="annotation subject"/>
    <w:basedOn w:val="1337"/>
    <w:next w:val="1337"/>
    <w:link w:val="1205"/>
    <w:uiPriority w:val="99"/>
    <w:semiHidden/>
    <w:qFormat/>
    <w:rPr>
      <w:b/>
      <w:bCs/>
    </w:rPr>
  </w:style>
  <w:style w:type="paragraph" w:styleId="1339" w:customStyle="1">
    <w:name w:val="20"/>
    <w:basedOn w:val="1115"/>
    <w:uiPriority w:val="99"/>
    <w:qFormat/>
    <w:pPr>
      <w:ind w:left="104" w:right="104"/>
      <w:jc w:val="left"/>
      <w:spacing w:before="104" w:after="104"/>
    </w:pPr>
  </w:style>
  <w:style w:type="paragraph" w:styleId="1340" w:customStyle="1">
    <w:name w:val="Пункт"/>
    <w:basedOn w:val="1115"/>
    <w:link w:val="1217"/>
    <w:uiPriority w:val="99"/>
    <w:qFormat/>
    <w:pPr>
      <w:ind w:left="1404" w:hanging="504"/>
      <w:spacing w:after="0"/>
      <w:tabs>
        <w:tab w:val="left" w:pos="1980" w:leader="none"/>
      </w:tabs>
    </w:pPr>
  </w:style>
  <w:style w:type="paragraph" w:styleId="1341" w:customStyle="1">
    <w:name w:val="Подпункт"/>
    <w:basedOn w:val="1340"/>
    <w:qFormat/>
    <w:pPr>
      <w:ind w:left="1728" w:hanging="648"/>
      <w:tabs>
        <w:tab w:val="clear" w:pos="1980" w:leader="none"/>
        <w:tab w:val="left" w:pos="2520" w:leader="none"/>
      </w:tabs>
    </w:pPr>
  </w:style>
  <w:style w:type="paragraph" w:styleId="1342">
    <w:name w:val="Document Map"/>
    <w:basedOn w:val="1115"/>
    <w:link w:val="1207"/>
    <w:uiPriority w:val="99"/>
    <w:semiHidden/>
    <w:qFormat/>
    <w:pPr>
      <w:shd w:val="clear" w:color="auto" w:fill="000080"/>
    </w:pPr>
    <w:rPr>
      <w:sz w:val="2"/>
      <w:szCs w:val="2"/>
    </w:rPr>
  </w:style>
  <w:style w:type="paragraph" w:styleId="1343" w:customStyle="1">
    <w:name w:val="Таблица шапка"/>
    <w:basedOn w:val="1115"/>
    <w:uiPriority w:val="99"/>
    <w:qFormat/>
    <w:pPr>
      <w:ind w:left="57" w:right="57"/>
      <w:jc w:val="left"/>
      <w:keepNext/>
      <w:spacing w:before="40" w:after="40"/>
    </w:pPr>
    <w:rPr>
      <w:sz w:val="18"/>
      <w:szCs w:val="18"/>
    </w:rPr>
  </w:style>
  <w:style w:type="paragraph" w:styleId="1344" w:customStyle="1">
    <w:name w:val="Таблица текст"/>
    <w:basedOn w:val="1115"/>
    <w:qFormat/>
    <w:pPr>
      <w:ind w:left="57" w:right="57"/>
      <w:jc w:val="left"/>
      <w:spacing w:before="40" w:after="40"/>
    </w:pPr>
    <w:rPr>
      <w:sz w:val="22"/>
      <w:szCs w:val="22"/>
    </w:rPr>
  </w:style>
  <w:style w:type="paragraph" w:styleId="1345" w:customStyle="1">
    <w:name w:val="пункт"/>
    <w:basedOn w:val="1115"/>
    <w:uiPriority w:val="99"/>
    <w:qFormat/>
    <w:pPr>
      <w:numPr>
        <w:ilvl w:val="2"/>
        <w:numId w:val="7"/>
      </w:numPr>
      <w:jc w:val="left"/>
      <w:spacing w:before="60"/>
    </w:pPr>
  </w:style>
  <w:style w:type="paragraph" w:styleId="1346">
    <w:name w:val="index 1"/>
    <w:basedOn w:val="1115"/>
    <w:next w:val="1115"/>
    <w:uiPriority w:val="99"/>
    <w:semiHidden/>
    <w:pPr>
      <w:ind w:left="240" w:hanging="240"/>
    </w:pPr>
  </w:style>
  <w:style w:type="paragraph" w:styleId="1347" w:customStyle="1">
    <w:name w:val="Обычный1"/>
    <w:uiPriority w:val="99"/>
    <w:qFormat/>
    <w:rPr>
      <w:rFonts w:eastAsia="Times New Roman" w:cs="Times New Roman"/>
      <w:sz w:val="24"/>
      <w:szCs w:val="24"/>
    </w:rPr>
  </w:style>
  <w:style w:type="paragraph" w:styleId="1348" w:customStyle="1">
    <w:name w:val="ConsPlusNonformat"/>
    <w:uiPriority w:val="99"/>
    <w:qFormat/>
    <w:pPr>
      <w:widowControl w:val="off"/>
    </w:pPr>
    <w:rPr>
      <w:rFonts w:ascii="Courier New" w:hAnsi="Courier New" w:eastAsia="Times New Roman" w:cs="Courier New"/>
    </w:rPr>
  </w:style>
  <w:style w:type="paragraph" w:styleId="1349">
    <w:name w:val="No Spacing"/>
    <w:uiPriority w:val="1"/>
    <w:qFormat/>
    <w:rPr>
      <w:rFonts w:eastAsia="Times New Roman" w:cs="Times New Roman"/>
      <w:sz w:val="24"/>
      <w:szCs w:val="24"/>
    </w:rPr>
  </w:style>
  <w:style w:type="paragraph" w:styleId="1350">
    <w:name w:val="endnote text"/>
    <w:basedOn w:val="1115"/>
    <w:link w:val="1209"/>
    <w:uiPriority w:val="99"/>
    <w:rPr>
      <w:sz w:val="20"/>
      <w:szCs w:val="20"/>
    </w:rPr>
  </w:style>
  <w:style w:type="paragraph" w:styleId="1351" w:customStyle="1">
    <w:name w:val="Основной текст с отступом11"/>
    <w:basedOn w:val="1115"/>
    <w:uiPriority w:val="99"/>
    <w:qFormat/>
    <w:pPr>
      <w:ind w:firstLine="851"/>
      <w:spacing w:before="60" w:after="0"/>
    </w:pPr>
  </w:style>
  <w:style w:type="paragraph" w:styleId="1352">
    <w:name w:val="List Paragraph"/>
    <w:basedOn w:val="1115"/>
    <w:link w:val="1220"/>
    <w:uiPriority w:val="34"/>
    <w:qFormat/>
    <w:pPr>
      <w:ind w:left="720"/>
      <w:jc w:val="left"/>
      <w:spacing w:after="0"/>
    </w:pPr>
  </w:style>
  <w:style w:type="paragraph" w:styleId="1353">
    <w:name w:val="Body Text 2"/>
    <w:basedOn w:val="1115"/>
    <w:link w:val="1216"/>
    <w:qFormat/>
    <w:pPr>
      <w:spacing w:after="120" w:line="480" w:lineRule="auto"/>
    </w:pPr>
  </w:style>
  <w:style w:type="paragraph" w:styleId="1354" w:customStyle="1">
    <w:name w:val="Iniiaiie oaeno"/>
    <w:basedOn w:val="1115"/>
    <w:uiPriority w:val="99"/>
    <w:qFormat/>
    <w:pPr>
      <w:jc w:val="center"/>
      <w:spacing w:after="0"/>
    </w:pPr>
    <w:rPr>
      <w:rFonts w:ascii="Arial" w:hAnsi="Arial" w:cs="Arial"/>
    </w:rPr>
  </w:style>
  <w:style w:type="paragraph" w:styleId="1355" w:customStyle="1">
    <w:name w:val="Абзац списка1"/>
    <w:basedOn w:val="1115"/>
    <w:qFormat/>
    <w:pPr>
      <w:contextualSpacing/>
      <w:ind w:left="720"/>
      <w:jc w:val="left"/>
      <w:spacing w:after="0"/>
    </w:pPr>
    <w:rPr>
      <w:rFonts w:ascii="Cambria" w:hAnsi="Cambria" w:eastAsia="MS Mincho"/>
    </w:rPr>
  </w:style>
  <w:style w:type="paragraph" w:styleId="1356" w:customStyle="1">
    <w:name w:val="Таблицы (моноширинный)"/>
    <w:basedOn w:val="1115"/>
    <w:next w:val="1115"/>
    <w:uiPriority w:val="99"/>
    <w:qFormat/>
    <w:pPr>
      <w:jc w:val="left"/>
      <w:spacing w:after="0"/>
    </w:pPr>
    <w:rPr>
      <w:rFonts w:ascii="Courier New" w:hAnsi="Courier New" w:cs="Courier New" w:eastAsiaTheme="minorHAnsi"/>
      <w:lang w:eastAsia="en-US"/>
    </w:rPr>
  </w:style>
  <w:style w:type="paragraph" w:styleId="1357" w:customStyle="1">
    <w:name w:val="Подподпункт"/>
    <w:basedOn w:val="1341"/>
    <w:qFormat/>
    <w:pPr>
      <w:ind w:left="567" w:hanging="567"/>
      <w:spacing w:line="360" w:lineRule="auto"/>
      <w:tabs>
        <w:tab w:val="left" w:pos="360" w:leader="none"/>
        <w:tab w:val="clear" w:pos="2520" w:leader="none"/>
      </w:tabs>
    </w:pPr>
    <w:rPr>
      <w:sz w:val="28"/>
      <w:szCs w:val="20"/>
    </w:rPr>
  </w:style>
  <w:style w:type="paragraph" w:styleId="1358" w:customStyle="1">
    <w:name w:val="Пункт-3"/>
    <w:basedOn w:val="1115"/>
    <w:qFormat/>
    <w:pPr>
      <w:spacing w:after="0"/>
      <w:tabs>
        <w:tab w:val="left" w:pos="1418" w:leader="none"/>
      </w:tabs>
    </w:pPr>
    <w:rPr>
      <w:sz w:val="28"/>
      <w:szCs w:val="20"/>
    </w:rPr>
  </w:style>
  <w:style w:type="paragraph" w:styleId="1359" w:customStyle="1">
    <w:name w:val="Основной текст (3)"/>
    <w:basedOn w:val="1115"/>
    <w:link w:val="1219"/>
    <w:qFormat/>
    <w:pPr>
      <w:ind w:firstLine="709"/>
      <w:jc w:val="center"/>
      <w:spacing w:after="0" w:line="274" w:lineRule="exact"/>
      <w:shd w:val="clear" w:color="auto" w:fill="ffffff"/>
      <w:widowControl w:val="off"/>
    </w:pPr>
    <w:rPr>
      <w:b/>
      <w:bCs/>
      <w:sz w:val="20"/>
      <w:szCs w:val="20"/>
    </w:rPr>
  </w:style>
  <w:style w:type="paragraph" w:styleId="1360" w:customStyle="1">
    <w:name w:val="Default"/>
    <w:qFormat/>
    <w:rPr>
      <w:rFonts w:eastAsia="Times New Roman" w:cs="Times New Roman"/>
      <w:color w:val="000000"/>
      <w:sz w:val="24"/>
      <w:szCs w:val="24"/>
      <w:lang w:eastAsia="en-US"/>
    </w:rPr>
  </w:style>
  <w:style w:type="paragraph" w:styleId="1361" w:customStyle="1">
    <w:name w:val="Пункт-4"/>
    <w:basedOn w:val="1115"/>
    <w:qFormat/>
    <w:pPr>
      <w:ind w:left="643" w:hanging="360"/>
      <w:spacing w:after="0"/>
      <w:tabs>
        <w:tab w:val="left" w:pos="643" w:leader="none"/>
      </w:tabs>
    </w:pPr>
    <w:rPr>
      <w:sz w:val="28"/>
      <w:szCs w:val="20"/>
    </w:rPr>
  </w:style>
  <w:style w:type="paragraph" w:styleId="1362">
    <w:name w:val="Revision"/>
    <w:uiPriority w:val="99"/>
    <w:semiHidden/>
    <w:qFormat/>
    <w:rPr>
      <w:rFonts w:eastAsia="Times New Roman" w:cs="Times New Roman"/>
      <w:sz w:val="24"/>
      <w:szCs w:val="24"/>
    </w:rPr>
  </w:style>
  <w:style w:type="paragraph" w:styleId="1363" w:customStyle="1">
    <w:name w:val="Ариал"/>
    <w:basedOn w:val="1115"/>
    <w:link w:val="1222"/>
    <w:qFormat/>
    <w:pPr>
      <w:ind w:firstLine="851"/>
      <w:spacing w:before="120" w:after="120" w:line="360" w:lineRule="auto"/>
    </w:pPr>
    <w:rPr>
      <w:rFonts w:ascii="Arial" w:hAnsi="Arial"/>
      <w:szCs w:val="20"/>
    </w:rPr>
  </w:style>
  <w:style w:type="paragraph" w:styleId="1364" w:customStyle="1">
    <w:name w:val="Цитата1"/>
    <w:basedOn w:val="1115"/>
    <w:qFormat/>
    <w:pPr>
      <w:ind w:left="34" w:right="32" w:firstLine="595"/>
      <w:spacing w:after="0" w:line="360" w:lineRule="auto"/>
      <w:shd w:val="clear" w:color="auto" w:fill="ffffff"/>
    </w:pPr>
    <w:rPr>
      <w:rFonts w:ascii="Arial" w:hAnsi="Arial"/>
      <w:color w:val="000000"/>
      <w:sz w:val="22"/>
      <w:szCs w:val="20"/>
    </w:rPr>
  </w:style>
  <w:style w:type="paragraph" w:styleId="1365" w:customStyle="1">
    <w:name w:val="Заголовок_1"/>
    <w:basedOn w:val="1115"/>
    <w:uiPriority w:val="99"/>
    <w:qFormat/>
    <w:pPr>
      <w:numPr>
        <w:ilvl w:val="0"/>
        <w:numId w:val="10"/>
      </w:numPr>
      <w:jc w:val="center"/>
      <w:keepLines/>
      <w:keepNext/>
      <w:spacing w:before="360" w:after="120"/>
      <w:outlineLvl w:val="0"/>
    </w:pPr>
    <w:rPr>
      <w:rFonts w:ascii="Arial" w:hAnsi="Arial" w:cs="Arial"/>
      <w:b/>
      <w:bCs/>
      <w:caps/>
      <w:sz w:val="36"/>
      <w:szCs w:val="28"/>
    </w:rPr>
  </w:style>
  <w:style w:type="paragraph" w:styleId="1366" w:customStyle="1">
    <w:name w:val="Пункт_3"/>
    <w:basedOn w:val="1115"/>
    <w:uiPriority w:val="99"/>
    <w:qFormat/>
    <w:pPr>
      <w:numPr>
        <w:ilvl w:val="2"/>
        <w:numId w:val="10"/>
      </w:numPr>
      <w:spacing w:after="0"/>
    </w:pPr>
    <w:rPr>
      <w:sz w:val="28"/>
      <w:szCs w:val="28"/>
    </w:rPr>
  </w:style>
  <w:style w:type="paragraph" w:styleId="1367" w:customStyle="1">
    <w:name w:val="Пункт_2"/>
    <w:basedOn w:val="1115"/>
    <w:uiPriority w:val="99"/>
    <w:qFormat/>
    <w:pPr>
      <w:numPr>
        <w:ilvl w:val="1"/>
        <w:numId w:val="10"/>
      </w:numPr>
      <w:spacing w:after="0"/>
    </w:pPr>
    <w:rPr>
      <w:sz w:val="28"/>
      <w:szCs w:val="20"/>
    </w:rPr>
  </w:style>
  <w:style w:type="paragraph" w:styleId="1368" w:customStyle="1">
    <w:name w:val="Пункт_5"/>
    <w:basedOn w:val="1366"/>
    <w:uiPriority w:val="99"/>
    <w:qFormat/>
  </w:style>
  <w:style w:type="paragraph" w:styleId="1369" w:customStyle="1">
    <w:name w:val="Times 12"/>
    <w:basedOn w:val="1115"/>
    <w:qFormat/>
    <w:pPr>
      <w:ind w:firstLine="567"/>
      <w:spacing w:after="0"/>
    </w:pPr>
    <w:rPr>
      <w:bCs/>
      <w:szCs w:val="22"/>
    </w:rPr>
  </w:style>
  <w:style w:type="paragraph" w:styleId="1370" w:customStyle="1">
    <w:name w:val="_Маркер (номер) - с заголовком"/>
    <w:basedOn w:val="1115"/>
    <w:qFormat/>
    <w:pPr>
      <w:jc w:val="left"/>
      <w:spacing w:before="240" w:line="360" w:lineRule="auto"/>
    </w:pPr>
    <w:rPr>
      <w:b/>
      <w:bCs/>
      <w:szCs w:val="20"/>
    </w:rPr>
  </w:style>
  <w:style w:type="paragraph" w:styleId="1371" w:customStyle="1">
    <w:name w:val="подзаголовок-3"/>
    <w:basedOn w:val="1358"/>
    <w:qFormat/>
    <w:pPr>
      <w:ind w:left="1134" w:hanging="1134"/>
      <w:keepNext/>
      <w:spacing w:before="240" w:after="120"/>
      <w:tabs>
        <w:tab w:val="left" w:pos="1134" w:leader="none"/>
        <w:tab w:val="clear" w:pos="1418" w:leader="none"/>
      </w:tabs>
      <w:outlineLvl w:val="2"/>
    </w:pPr>
    <w:rPr>
      <w:b/>
      <w:sz w:val="24"/>
      <w:szCs w:val="28"/>
    </w:rPr>
  </w:style>
  <w:style w:type="paragraph" w:styleId="1372" w:customStyle="1">
    <w:name w:val="буквы"/>
    <w:basedOn w:val="1115"/>
    <w:qFormat/>
    <w:pPr>
      <w:numPr>
        <w:ilvl w:val="0"/>
        <w:numId w:val="12"/>
      </w:numPr>
      <w:ind w:left="1080"/>
      <w:spacing w:after="0" w:line="360" w:lineRule="auto"/>
      <w:tabs>
        <w:tab w:val="left" w:pos="564" w:leader="none"/>
        <w:tab w:val="left" w:pos="1080" w:leader="none"/>
      </w:tabs>
    </w:pPr>
    <w:rPr>
      <w:sz w:val="28"/>
      <w:szCs w:val="20"/>
    </w:rPr>
  </w:style>
  <w:style w:type="paragraph" w:styleId="1373" w:customStyle="1">
    <w:name w:val="Чертежный"/>
    <w:qFormat/>
    <w:pPr>
      <w:jc w:val="both"/>
    </w:pPr>
    <w:rPr>
      <w:rFonts w:ascii="ISOCPEUR" w:hAnsi="ISOCPEUR" w:eastAsia="Times New Roman" w:cs="Times New Roman"/>
      <w:i/>
      <w:sz w:val="28"/>
      <w:lang w:val="uk-UA"/>
    </w:rPr>
  </w:style>
  <w:style w:type="paragraph" w:styleId="1374" w:customStyle="1">
    <w:name w:val="Основной текст3"/>
    <w:basedOn w:val="1115"/>
    <w:qFormat/>
    <w:pPr>
      <w:ind w:firstLine="560"/>
      <w:spacing w:after="0" w:line="274" w:lineRule="exact"/>
      <w:shd w:val="clear" w:color="auto" w:fill="ffffff"/>
      <w:widowControl w:val="off"/>
    </w:pPr>
    <w:rPr>
      <w:sz w:val="20"/>
      <w:szCs w:val="20"/>
    </w:rPr>
  </w:style>
  <w:style w:type="paragraph" w:styleId="1375" w:customStyle="1">
    <w:name w:val="xl68"/>
    <w:basedOn w:val="1115"/>
    <w:uiPriority w:val="99"/>
    <w:qFormat/>
    <w:pPr>
      <w:jc w:val="center"/>
      <w:spacing w:beforeAutospacing="1" w:afterAutospacing="1"/>
      <w:shd w:val="clear" w:color="auto" w:fill="ffffff"/>
    </w:pPr>
    <w:rPr>
      <w:rFonts w:ascii="Arial CYR" w:hAnsi="Arial CYR" w:cs="Arial CYR"/>
      <w:b/>
      <w:bCs/>
      <w:sz w:val="28"/>
      <w:szCs w:val="28"/>
    </w:rPr>
  </w:style>
  <w:style w:type="paragraph" w:styleId="1376" w:customStyle="1">
    <w:name w:val="xl66"/>
    <w:basedOn w:val="1115"/>
    <w:uiPriority w:val="99"/>
    <w:qFormat/>
    <w:pPr>
      <w:jc w:val="center"/>
      <w:spacing w:beforeAutospacing="1" w:afterAutospacing="1"/>
      <w:shd w:val="clear" w:color="auto" w:fill="ffffff"/>
      <w:pBdr>
        <w:top w:val="single" w:color="000000" w:sz="4" w:space="0"/>
        <w:left w:val="single" w:color="000000" w:sz="8" w:space="0"/>
        <w:bottom w:val="single" w:color="000000" w:sz="4" w:space="0"/>
        <w:right w:val="single" w:color="000000" w:sz="4" w:space="0"/>
      </w:pBdr>
    </w:pPr>
    <w:rPr>
      <w:rFonts w:ascii="Arial CYR" w:hAnsi="Arial CYR" w:cs="Arial CYR"/>
      <w:b/>
      <w:bCs/>
    </w:rPr>
  </w:style>
  <w:style w:type="paragraph" w:styleId="1377" w:customStyle="1">
    <w:name w:val="xl53"/>
    <w:basedOn w:val="1115"/>
    <w:uiPriority w:val="99"/>
    <w:qFormat/>
    <w:pPr>
      <w:jc w:val="center"/>
      <w:spacing w:beforeAutospacing="1" w:afterAutospacing="1"/>
    </w:pPr>
    <w:rPr>
      <w:rFonts w:ascii="Arial CYR" w:hAnsi="Arial CYR" w:cs="Arial CYR"/>
    </w:rPr>
  </w:style>
  <w:style w:type="paragraph" w:styleId="1378" w:customStyle="1">
    <w:name w:val="Style26"/>
    <w:basedOn w:val="1115"/>
    <w:uiPriority w:val="99"/>
    <w:qFormat/>
    <w:pPr>
      <w:jc w:val="left"/>
      <w:spacing w:after="0" w:line="322" w:lineRule="exact"/>
      <w:widowControl w:val="off"/>
    </w:pPr>
    <w:rPr>
      <w:rFonts w:eastAsiaTheme="minorEastAsia"/>
    </w:rPr>
  </w:style>
  <w:style w:type="paragraph" w:styleId="1379" w:customStyle="1">
    <w:name w:val="Style20"/>
    <w:basedOn w:val="1115"/>
    <w:uiPriority w:val="99"/>
    <w:qFormat/>
    <w:pPr>
      <w:jc w:val="center"/>
      <w:spacing w:after="0" w:line="322" w:lineRule="exact"/>
      <w:widowControl w:val="off"/>
    </w:pPr>
    <w:rPr>
      <w:rFonts w:eastAsiaTheme="minorEastAsia"/>
    </w:rPr>
  </w:style>
  <w:style w:type="paragraph" w:styleId="1380" w:customStyle="1">
    <w:name w:val="Style22"/>
    <w:basedOn w:val="1115"/>
    <w:uiPriority w:val="99"/>
    <w:qFormat/>
    <w:pPr>
      <w:jc w:val="left"/>
      <w:spacing w:after="0"/>
      <w:widowControl w:val="off"/>
    </w:pPr>
    <w:rPr>
      <w:rFonts w:eastAsiaTheme="minorEastAsia"/>
    </w:rPr>
  </w:style>
  <w:style w:type="paragraph" w:styleId="1381" w:customStyle="1">
    <w:name w:val="xl39"/>
    <w:basedOn w:val="1115"/>
    <w:uiPriority w:val="99"/>
    <w:qFormat/>
    <w:pPr>
      <w:jc w:val="left"/>
      <w:spacing w:beforeAutospacing="1" w:afterAutospacing="1"/>
      <w:shd w:val="clear" w:color="auto" w:fill="ffffff"/>
    </w:pPr>
    <w:rPr>
      <w:rFonts w:ascii="Arial CYR" w:hAnsi="Arial CYR" w:cs="Arial CYR"/>
    </w:rPr>
  </w:style>
  <w:style w:type="paragraph" w:styleId="1382" w:customStyle="1">
    <w:name w:val="xl57"/>
    <w:basedOn w:val="1115"/>
    <w:uiPriority w:val="99"/>
    <w:qFormat/>
    <w:pPr>
      <w:jc w:val="left"/>
      <w:spacing w:beforeAutospacing="1" w:afterAutospacing="1"/>
    </w:pPr>
    <w:rPr>
      <w:rFonts w:ascii="Arial CYR" w:hAnsi="Arial CYR" w:cs="Arial CYR"/>
    </w:rPr>
  </w:style>
  <w:style w:type="paragraph" w:styleId="1383" w:customStyle="1">
    <w:name w:val="АриалТабл"/>
    <w:basedOn w:val="1363"/>
    <w:qFormat/>
    <w:pPr>
      <w:ind w:firstLine="0"/>
      <w:spacing w:before="0" w:after="0" w:line="240" w:lineRule="auto"/>
      <w:widowControl w:val="off"/>
    </w:pPr>
    <w:rPr>
      <w:rFonts w:cs="Arial"/>
      <w:szCs w:val="24"/>
    </w:rPr>
  </w:style>
  <w:style w:type="paragraph" w:styleId="1384" w:customStyle="1">
    <w:name w:val="Ариал Таблица"/>
    <w:basedOn w:val="1363"/>
    <w:link w:val="1229"/>
    <w:qFormat/>
    <w:pPr>
      <w:ind w:firstLine="0"/>
      <w:spacing w:before="0" w:after="0" w:line="240" w:lineRule="auto"/>
      <w:widowControl w:val="off"/>
    </w:pPr>
    <w:rPr>
      <w:rFonts w:cs="Arial"/>
    </w:rPr>
  </w:style>
  <w:style w:type="paragraph" w:styleId="1385" w:customStyle="1">
    <w:name w:val="Ариал таблица"/>
    <w:basedOn w:val="1115"/>
    <w:qFormat/>
    <w:pPr>
      <w:jc w:val="left"/>
      <w:spacing w:after="0" w:line="240" w:lineRule="atLeast"/>
      <w:tabs>
        <w:tab w:val="left" w:pos="360" w:leader="none"/>
      </w:tabs>
    </w:pPr>
    <w:rPr>
      <w:rFonts w:ascii="Arial" w:hAnsi="Arial"/>
    </w:rPr>
  </w:style>
  <w:style w:type="paragraph" w:styleId="1386" w:customStyle="1">
    <w:name w:val="Style10"/>
    <w:basedOn w:val="1115"/>
    <w:uiPriority w:val="99"/>
    <w:qFormat/>
    <w:pPr>
      <w:jc w:val="left"/>
      <w:spacing w:after="0" w:line="281" w:lineRule="exact"/>
      <w:widowControl w:val="off"/>
    </w:pPr>
  </w:style>
  <w:style w:type="paragraph" w:styleId="1387" w:customStyle="1">
    <w:name w:val="Стиль начало"/>
    <w:basedOn w:val="1115"/>
    <w:uiPriority w:val="99"/>
    <w:qFormat/>
    <w:pPr>
      <w:jc w:val="left"/>
      <w:spacing w:after="0" w:line="264" w:lineRule="auto"/>
      <w:widowControl w:val="off"/>
    </w:pPr>
    <w:rPr>
      <w:sz w:val="28"/>
      <w:szCs w:val="28"/>
    </w:rPr>
  </w:style>
  <w:style w:type="paragraph" w:styleId="1388" w:customStyle="1">
    <w:name w:val="Style11"/>
    <w:basedOn w:val="1115"/>
    <w:uiPriority w:val="99"/>
    <w:qFormat/>
    <w:pPr>
      <w:jc w:val="left"/>
      <w:spacing w:after="0"/>
      <w:widowControl w:val="off"/>
    </w:pPr>
  </w:style>
  <w:style w:type="paragraph" w:styleId="1389" w:customStyle="1">
    <w:name w:val="gmail-msotitle"/>
    <w:basedOn w:val="1115"/>
    <w:uiPriority w:val="99"/>
    <w:semiHidden/>
    <w:qFormat/>
    <w:pPr>
      <w:jc w:val="left"/>
      <w:spacing w:beforeAutospacing="1" w:afterAutospacing="1"/>
    </w:pPr>
    <w:rPr>
      <w:rFonts w:eastAsiaTheme="minorHAnsi"/>
    </w:rPr>
  </w:style>
  <w:style w:type="paragraph" w:styleId="1390" w:customStyle="1">
    <w:name w:val="Гиперссылка1"/>
    <w:basedOn w:val="1115"/>
    <w:link w:val="1177"/>
    <w:uiPriority w:val="99"/>
    <w:qFormat/>
    <w:pPr>
      <w:jc w:val="left"/>
      <w:spacing w:after="0"/>
    </w:pPr>
    <w:rPr>
      <w:color w:val="0000ff"/>
      <w:sz w:val="20"/>
      <w:szCs w:val="20"/>
      <w:u w:val="single"/>
    </w:rPr>
  </w:style>
  <w:style w:type="paragraph" w:styleId="1391" w:customStyle="1">
    <w:name w:val="ТабОЛ1"/>
    <w:basedOn w:val="1115"/>
    <w:qFormat/>
    <w:pPr>
      <w:jc w:val="left"/>
      <w:keepLines/>
      <w:spacing w:before="60"/>
      <w:tabs>
        <w:tab w:val="left" w:pos="425" w:leader="none"/>
      </w:tabs>
    </w:pPr>
    <w:rPr>
      <w:rFonts w:eastAsia="Tahoma" w:cs="Noto Sans Devanagari"/>
      <w:color w:val="000000"/>
      <w:szCs w:val="20"/>
      <w:lang w:eastAsia="zh-CN" w:bidi="hi-IN"/>
    </w:rPr>
  </w:style>
  <w:style w:type="paragraph" w:styleId="1392" w:customStyle="1">
    <w:name w:val="ТабЗЦ1"/>
    <w:basedOn w:val="1391"/>
    <w:qFormat/>
    <w:pPr>
      <w:jc w:val="center"/>
      <w:keepNext/>
      <w:spacing w:before="0"/>
    </w:pPr>
    <w:rPr>
      <w:b/>
    </w:rPr>
  </w:style>
  <w:style w:type="paragraph" w:styleId="1393" w:customStyle="1">
    <w:name w:val="s_1"/>
    <w:basedOn w:val="1115"/>
    <w:qFormat/>
    <w:pPr>
      <w:jc w:val="left"/>
      <w:spacing w:beforeAutospacing="1" w:afterAutospacing="1"/>
    </w:pPr>
  </w:style>
  <w:style w:type="paragraph" w:styleId="1394" w:customStyle="1">
    <w:name w:val=".FORMATTEXT"/>
    <w:uiPriority w:val="99"/>
    <w:qFormat/>
    <w:pPr>
      <w:widowControl w:val="off"/>
    </w:pPr>
    <w:rPr>
      <w:rFonts w:ascii="Arial" w:hAnsi="Arial" w:eastAsia="Times New Roman" w:cs="Arial"/>
    </w:rPr>
  </w:style>
  <w:style w:type="paragraph" w:styleId="1395" w:customStyle="1">
    <w:name w:val="00 BodyText"/>
    <w:basedOn w:val="1115"/>
    <w:qFormat/>
    <w:pPr>
      <w:jc w:val="left"/>
      <w:spacing w:after="220"/>
    </w:pPr>
  </w:style>
  <w:style w:type="numbering" w:styleId="1396" w:customStyle="1">
    <w:name w:val="Без списка"/>
    <w:uiPriority w:val="99"/>
    <w:semiHidden/>
    <w:unhideWhenUsed/>
    <w:qFormat/>
  </w:style>
  <w:style w:type="numbering" w:styleId="1397" w:customStyle="1">
    <w:name w:val="Стиль511"/>
    <w:uiPriority w:val="99"/>
    <w:qFormat/>
  </w:style>
  <w:style w:type="numbering" w:styleId="1398" w:customStyle="1">
    <w:name w:val="Стиль41"/>
    <w:uiPriority w:val="99"/>
    <w:qFormat/>
  </w:style>
  <w:style w:type="numbering" w:styleId="1399">
    <w:name w:val="Outline List 1"/>
    <w:semiHidden/>
    <w:qFormat/>
  </w:style>
  <w:style w:type="numbering" w:styleId="1400" w:customStyle="1">
    <w:name w:val="Стиль51"/>
    <w:uiPriority w:val="99"/>
    <w:qFormat/>
  </w:style>
  <w:style w:type="numbering" w:styleId="1401" w:customStyle="1">
    <w:name w:val="Текущий список11"/>
    <w:qFormat/>
  </w:style>
  <w:style w:type="numbering" w:styleId="1402" w:customStyle="1">
    <w:name w:val="Импортированный стиль 23"/>
    <w:qFormat/>
  </w:style>
  <w:style w:type="numbering" w:styleId="1403" w:customStyle="1">
    <w:name w:val="Стиль512"/>
    <w:uiPriority w:val="99"/>
    <w:qFormat/>
  </w:style>
  <w:style w:type="numbering" w:styleId="1404" w:customStyle="1">
    <w:name w:val="Текущий список111"/>
    <w:qFormat/>
  </w:style>
  <w:style w:type="numbering" w:styleId="1405" w:customStyle="1">
    <w:name w:val="Стиль513"/>
    <w:uiPriority w:val="99"/>
    <w:qFormat/>
  </w:style>
  <w:style w:type="numbering" w:styleId="1406" w:customStyle="1">
    <w:name w:val="Текущий список112"/>
    <w:qFormat/>
  </w:style>
  <w:style w:type="table" w:styleId="1407" w:customStyle="1">
    <w:name w:val="Plain Table 1"/>
    <w:basedOn w:val="1126"/>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fill="f2f2f2" w:themeFill="text1" w:themeFillTint="0D"/>
      </w:tcPr>
    </w:tblStylePr>
    <w:tblStylePr w:type="band1Vert">
      <w:tcPr>
        <w:shd w:val="clear" w:color="f2f2f2" w:fill="f2f2f2" w:themeFill="text1" w:themeFillTint="0D"/>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1408" w:customStyle="1">
    <w:name w:val="Plain Table 2"/>
    <w:basedOn w:val="1126"/>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1409" w:customStyle="1">
    <w:name w:val="Plain Table 3"/>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1410" w:customStyle="1">
    <w:name w:val="Plain Table 4"/>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b/>
      </w:rPr>
    </w:tblStylePr>
    <w:tblStylePr w:type="firstRow">
      <w:rPr>
        <w:b/>
      </w:rPr>
    </w:tblStylePr>
    <w:tblStylePr w:type="lastCol">
      <w:rPr>
        <w:b/>
      </w:rPr>
    </w:tblStylePr>
    <w:tblStylePr w:type="lastRow">
      <w:rPr>
        <w:b/>
      </w:rPr>
    </w:tblStylePr>
  </w:style>
  <w:style w:type="table" w:styleId="1411" w:customStyle="1">
    <w:name w:val="Plain Table 5"/>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1412" w:customStyle="1">
    <w:name w:val="Grid Table 1 Light"/>
    <w:basedOn w:val="1126"/>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1413" w:customStyle="1">
    <w:name w:val="Grid Table 2"/>
    <w:basedOn w:val="1126"/>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1414" w:customStyle="1">
    <w:name w:val="Grid Table 3"/>
    <w:basedOn w:val="1126"/>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15" w:customStyle="1">
    <w:name w:val="Grid Table 4"/>
    <w:basedOn w:val="1126"/>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1416" w:customStyle="1">
    <w:name w:val="Grid Table 5 Dark"/>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sz w:val="22"/>
      </w:rPr>
      <w:tcPr>
        <w:shd w:val="clear" w:color="000000" w:fill="000000" w:themeFill="text1"/>
      </w:tcPr>
    </w:tblStylePr>
    <w:tblStylePr w:type="firstRow">
      <w:rPr>
        <w:b/>
        <w:sz w:val="22"/>
      </w:rPr>
      <w:tcPr>
        <w:shd w:val="clear" w:color="000000" w:fill="000000" w:themeFill="text1"/>
      </w:tcPr>
    </w:tblStylePr>
    <w:tblStylePr w:type="lastCol">
      <w:rPr>
        <w:b/>
        <w:sz w:val="22"/>
      </w:rPr>
      <w:tcPr>
        <w:shd w:val="clear" w:color="000000" w:fill="000000" w:themeFill="text1"/>
      </w:tcPr>
    </w:tblStylePr>
    <w:tblStylePr w:type="lastRow">
      <w:rPr>
        <w:b/>
        <w:sz w:val="22"/>
      </w:rPr>
      <w:tcPr>
        <w:shd w:val="clear" w:color="000000" w:fill="000000" w:themeFill="text1"/>
        <w:tcBorders>
          <w:top w:val="single" w:color="FFFFFF" w:themeColor="light1" w:sz="4" w:space="0"/>
        </w:tcBorders>
      </w:tcPr>
    </w:tblStylePr>
  </w:style>
  <w:style w:type="table" w:styleId="1417" w:customStyle="1">
    <w:name w:val="Grid Table 6 Colorful"/>
    <w:basedOn w:val="1126"/>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418" w:customStyle="1">
    <w:name w:val="Grid Table 7 Colorful"/>
    <w:basedOn w:val="1126"/>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f2f2f2" w:fill="f2f2f2" w:themeFill="text1" w:themeFillTint="0D"/>
      </w:tcPr>
    </w:tblStylePr>
    <w:tblStylePr w:type="band1Vert">
      <w:tcPr>
        <w:shd w:val="clear" w:color="f2f2f2" w:fill="f2f2f2" w:themeFill="text1" w:themeFillTint="0D"/>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419" w:customStyle="1">
    <w:name w:val="List Table 1 Light"/>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1420" w:customStyle="1">
    <w:name w:val="List Table 2"/>
    <w:basedOn w:val="1126"/>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421" w:customStyle="1">
    <w:name w:val="List Table 3"/>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422" w:customStyle="1">
    <w:name w:val="List Table 4"/>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423" w:customStyle="1">
    <w:name w:val="List Table 5 Dark"/>
    <w:basedOn w:val="1126"/>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1424" w:customStyle="1">
    <w:name w:val="List Table 6 Colorful"/>
    <w:basedOn w:val="1126"/>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425" w:customStyle="1">
    <w:name w:val="List Table 7 Colorful"/>
    <w:basedOn w:val="1126"/>
    <w:uiPriority w:val="99"/>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426" w:customStyle="1">
    <w:name w:val="Таблица простая 11"/>
    <w:basedOn w:val="1126"/>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fill="f2f2f2" w:themeFill="text1" w:themeFillTint="0D"/>
      </w:tcPr>
    </w:tblStylePr>
    <w:tblStylePr w:type="band1Vert">
      <w:tcPr>
        <w:shd w:val="clear" w:color="f2f2f2" w:fill="f2f2f2" w:themeFill="text1" w:themeFillTint="0D"/>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1427" w:customStyle="1">
    <w:name w:val="Таблица простая 21"/>
    <w:basedOn w:val="1126"/>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1428" w:customStyle="1">
    <w:name w:val="Таблица простая 31"/>
    <w:basedOn w:val="1126"/>
    <w:link w:val="1224"/>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1429" w:customStyle="1">
    <w:name w:val="Таблица простая 4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b/>
      </w:rPr>
    </w:tblStylePr>
    <w:tblStylePr w:type="firstRow">
      <w:rPr>
        <w:b/>
      </w:rPr>
    </w:tblStylePr>
    <w:tblStylePr w:type="lastCol">
      <w:rPr>
        <w:b/>
      </w:rPr>
    </w:tblStylePr>
    <w:tblStylePr w:type="lastRow">
      <w:rPr>
        <w:b/>
      </w:rPr>
    </w:tblStylePr>
  </w:style>
  <w:style w:type="table" w:styleId="1430" w:customStyle="1">
    <w:name w:val="Таблица простая 5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2f2f2" w:themeFill="text1" w:themeFillTint="0D"/>
      </w:tcPr>
    </w:tblStylePr>
    <w:tblStylePr w:type="band1Vert">
      <w:rPr>
        <w:sz w:val="22"/>
      </w:rPr>
      <w:tcPr>
        <w:shd w:val="clear" w:color="f2f2f2" w:fill="f2f2f2" w:themeFill="text1" w:themeFillTint="0D"/>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1431" w:customStyle="1">
    <w:name w:val="Таблица-сетка 1 светлая1"/>
    <w:basedOn w:val="1126"/>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1432" w:customStyle="1">
    <w:name w:val="Таблица-сетка 21"/>
    <w:basedOn w:val="1126"/>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1433" w:customStyle="1">
    <w:name w:val="Таблица-сетка 31"/>
    <w:basedOn w:val="1126"/>
    <w:link w:val="1218"/>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34" w:customStyle="1">
    <w:name w:val="Таблица-сетка 41"/>
    <w:basedOn w:val="1126"/>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1435" w:customStyle="1">
    <w:name w:val="Таблица-сетка 5 темная1"/>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sz w:val="22"/>
      </w:rPr>
      <w:tcPr>
        <w:shd w:val="clear" w:color="000000" w:fill="000000" w:themeFill="text1"/>
      </w:tcPr>
    </w:tblStylePr>
    <w:tblStylePr w:type="firstRow">
      <w:rPr>
        <w:b/>
        <w:sz w:val="22"/>
      </w:rPr>
      <w:tcPr>
        <w:shd w:val="clear" w:color="000000" w:fill="000000" w:themeFill="text1"/>
      </w:tcPr>
    </w:tblStylePr>
    <w:tblStylePr w:type="lastCol">
      <w:rPr>
        <w:b/>
        <w:sz w:val="22"/>
      </w:rPr>
      <w:tcPr>
        <w:shd w:val="clear" w:color="000000" w:fill="000000" w:themeFill="text1"/>
      </w:tcPr>
    </w:tblStylePr>
    <w:tblStylePr w:type="lastRow">
      <w:rPr>
        <w:b/>
        <w:sz w:val="22"/>
      </w:rPr>
      <w:tcPr>
        <w:shd w:val="clear" w:color="000000" w:fill="000000" w:themeFill="text1"/>
        <w:tcBorders>
          <w:top w:val="single" w:color="FFFFFF" w:themeColor="light1" w:sz="4" w:space="0"/>
        </w:tcBorders>
      </w:tcPr>
    </w:tblStylePr>
  </w:style>
  <w:style w:type="table" w:styleId="1436" w:customStyle="1">
    <w:name w:val="Таблица-сетка 6 цветная1"/>
    <w:basedOn w:val="1126"/>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437" w:customStyle="1">
    <w:name w:val="Таблица-сетка 7 цветная1"/>
    <w:basedOn w:val="1126"/>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f2f2f2" w:fill="f2f2f2" w:themeFill="text1" w:themeFillTint="0D"/>
      </w:tcPr>
    </w:tblStylePr>
    <w:tblStylePr w:type="band1Vert">
      <w:tcPr>
        <w:shd w:val="clear" w:color="f2f2f2" w:fill="f2f2f2" w:themeFill="text1" w:themeFillTint="0D"/>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438" w:customStyle="1">
    <w:name w:val="Список-таблица 1 светлая1"/>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1439" w:customStyle="1">
    <w:name w:val="Список-таблица 21"/>
    <w:basedOn w:val="1126"/>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440" w:customStyle="1">
    <w:name w:val="Список-таблица 31"/>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441" w:customStyle="1">
    <w:name w:val="Список-таблица 41"/>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442" w:customStyle="1">
    <w:name w:val="Список-таблица 5 темная1"/>
    <w:basedOn w:val="1126"/>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1443" w:customStyle="1">
    <w:name w:val="Список-таблица 6 цветная1"/>
    <w:basedOn w:val="1126"/>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444" w:customStyle="1">
    <w:name w:val="Список-таблица 7 цветная1"/>
    <w:basedOn w:val="1126"/>
    <w:uiPriority w:val="99"/>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445" w:customStyle="1">
    <w:name w:val="Table Grid Light"/>
    <w:basedOn w:val="1126"/>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1446" w:customStyle="1">
    <w:name w:val="Таблица простая 11"/>
    <w:basedOn w:val="1126"/>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fill="ffffff" w:themeFill="text1" w:themeFillTint="00"/>
      </w:tcPr>
    </w:tblStylePr>
    <w:tblStylePr w:type="band1Vert">
      <w:tcPr>
        <w:shd w:val="clear" w:color="f2f2f2" w:fill="ffffff" w:themeFill="text1" w:themeFillTint="00"/>
      </w:tcPr>
    </w:tblStylePr>
    <w:tblStylePr w:type="firstCol">
      <w:rPr>
        <w:b/>
        <w:sz w:val="22"/>
      </w:rPr>
    </w:tblStylePr>
    <w:tblStylePr w:type="firstRow">
      <w:rPr>
        <w:b/>
        <w:sz w:val="22"/>
      </w:rPr>
    </w:tblStylePr>
    <w:tblStylePr w:type="lastCol">
      <w:rPr>
        <w:b/>
        <w:sz w:val="22"/>
      </w:rPr>
    </w:tblStylePr>
    <w:tblStylePr w:type="lastRow">
      <w:rPr>
        <w:b/>
        <w:sz w:val="22"/>
      </w:rPr>
    </w:tblStylePr>
  </w:style>
  <w:style w:type="table" w:styleId="1447" w:customStyle="1">
    <w:name w:val="Таблица простая 21"/>
    <w:basedOn w:val="1126"/>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b/>
        <w:sz w:val="22"/>
      </w:rPr>
    </w:tblStylePr>
    <w:tblStylePr w:type="firstRow">
      <w:rPr>
        <w:b/>
        <w:sz w:val="22"/>
      </w:rPr>
      <w:tcPr>
        <w:tcBorders>
          <w:top w:val="single" w:color="000000" w:themeColor="text1" w:sz="4" w:space="0"/>
          <w:bottom w:val="single" w:color="000000" w:themeColor="text1" w:sz="4" w:space="0"/>
        </w:tcBorders>
      </w:tcPr>
    </w:tblStylePr>
    <w:tblStylePr w:type="lastCol">
      <w:rPr>
        <w:b/>
        <w:sz w:val="22"/>
      </w:rPr>
    </w:tblStylePr>
    <w:tblStylePr w:type="lastRow">
      <w:rPr>
        <w:b/>
        <w:sz w:val="22"/>
      </w:rPr>
    </w:tblStylePr>
  </w:style>
  <w:style w:type="table" w:styleId="1448" w:customStyle="1">
    <w:name w:val="Таблица простая 3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b/>
        <w:caps/>
      </w:rPr>
      <w:tcPr>
        <w:tcBorders>
          <w:top w:val="none" w:color="000000" w:sz="4" w:space="0"/>
          <w:left w:val="none" w:color="000000" w:sz="4" w:space="0"/>
          <w:bottom w:val="none" w:color="000000" w:sz="4" w:space="0"/>
          <w:right w:val="single" w:color="404040" w:sz="4" w:space="0"/>
        </w:tcBorders>
      </w:tcPr>
    </w:tblStylePr>
    <w:tblStylePr w:type="firstRow">
      <w:rPr>
        <w:b/>
        <w:caps/>
      </w:rPr>
      <w:tcPr>
        <w:tcBorders>
          <w:top w:val="none" w:color="000000" w:sz="4" w:space="0"/>
          <w:left w:val="none" w:color="000000" w:sz="4" w:space="0"/>
          <w:bottom w:val="single" w:color="404040" w:sz="4" w:space="0"/>
          <w:right w:val="none" w:color="000000" w:sz="4" w:space="0"/>
        </w:tcBorders>
      </w:tcPr>
    </w:tblStylePr>
    <w:tblStylePr w:type="lastCol">
      <w:rPr>
        <w:b/>
        <w:caps/>
      </w:rPr>
    </w:tblStylePr>
    <w:tblStylePr w:type="lastRow">
      <w:rPr>
        <w:b/>
        <w:caps/>
      </w:rPr>
    </w:tblStylePr>
  </w:style>
  <w:style w:type="table" w:styleId="1449" w:customStyle="1">
    <w:name w:val="Таблица простая 4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b/>
      </w:rPr>
    </w:tblStylePr>
    <w:tblStylePr w:type="firstRow">
      <w:rPr>
        <w:b/>
      </w:rPr>
    </w:tblStylePr>
    <w:tblStylePr w:type="lastCol">
      <w:rPr>
        <w:b/>
      </w:rPr>
    </w:tblStylePr>
    <w:tblStylePr w:type="lastRow">
      <w:rPr>
        <w:b/>
      </w:rPr>
    </w:tblStylePr>
  </w:style>
  <w:style w:type="table" w:styleId="1450" w:customStyle="1">
    <w:name w:val="Таблица простая 5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cPr>
        <w:shd w:val="clear" w:color="f2f2f2" w:fill="ffffff" w:themeFill="text1" w:themeFillTint="00"/>
      </w:tcPr>
    </w:tblStylePr>
    <w:tblStylePr w:type="band1Vert">
      <w:rPr>
        <w:sz w:val="22"/>
      </w:rPr>
      <w:tcPr>
        <w:shd w:val="clear" w:color="f2f2f2" w:fill="ffffff" w:themeFill="text1" w:themeFillTint="00"/>
      </w:tcPr>
    </w:tblStylePr>
    <w:tblStylePr w:type="firstCol">
      <w:rPr>
        <w:i/>
      </w:rPr>
      <w:pPr>
        <w:jc w:val="right"/>
      </w:pPr>
      <w:tcPr>
        <w:shd w:val="clear" w:color="ffffff" w:fill="auto"/>
        <w:tcBorders>
          <w:right w:val="single" w:color="404040" w:sz="4" w:space="0"/>
        </w:tcBorders>
      </w:tcPr>
    </w:tblStylePr>
    <w:tblStylePr w:type="firstRow">
      <w:rPr>
        <w:i/>
      </w:rPr>
      <w:tcPr>
        <w:shd w:val="clear" w:color="ffffff" w:fill="auto"/>
        <w:tcBorders>
          <w:left w:val="none" w:color="000000" w:sz="4" w:space="0"/>
          <w:bottom w:val="single" w:color="404040" w:sz="4" w:space="0"/>
          <w:right w:val="none" w:color="000000" w:sz="4" w:space="0"/>
        </w:tcBorders>
      </w:tcPr>
    </w:tblStylePr>
    <w:tblStylePr w:type="lastCol">
      <w:rPr>
        <w:i/>
      </w:rPr>
      <w:tcPr>
        <w:shd w:val="clear" w:color="ffffff" w:fill="auto"/>
        <w:tcBorders>
          <w:left w:val="single" w:color="404040" w:sz="4" w:space="0"/>
        </w:tcBorders>
      </w:tcPr>
    </w:tblStylePr>
    <w:tblStylePr w:type="lastRow">
      <w:rPr>
        <w:i/>
      </w:rPr>
      <w:tcPr>
        <w:shd w:val="clear" w:color="ffffff" w:fill="auto"/>
        <w:tcBorders>
          <w:top w:val="single" w:color="404040" w:sz="4" w:space="0"/>
          <w:left w:val="none" w:color="000000" w:sz="4" w:space="0"/>
          <w:right w:val="none" w:color="000000" w:sz="4" w:space="0"/>
        </w:tcBorders>
      </w:tcPr>
    </w:tblStylePr>
  </w:style>
  <w:style w:type="table" w:styleId="1451" w:customStyle="1">
    <w:name w:val="Таблица-сетка 1 светлая1"/>
    <w:basedOn w:val="1126"/>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StylePr>
    <w:tblStylePr w:type="firstRow">
      <w:rPr>
        <w:b/>
      </w:rPr>
      <w:tcPr>
        <w:tcBorders>
          <w:bottom w:val="single" w:color="000000" w:themeColor="text1" w:sz="12" w:space="0"/>
        </w:tcBorders>
      </w:tcPr>
    </w:tblStylePr>
    <w:tblStylePr w:type="lastCol">
      <w:rPr>
        <w:b/>
      </w:rPr>
    </w:tblStylePr>
    <w:tblStylePr w:type="lastRow">
      <w:rPr>
        <w:b/>
      </w:rPr>
    </w:tblStylePr>
  </w:style>
  <w:style w:type="table" w:styleId="1452" w:customStyle="1">
    <w:name w:val="Grid Table 1 Light - Accent 1"/>
    <w:basedOn w:val="1126"/>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b/>
      </w:rPr>
    </w:tblStylePr>
    <w:tblStylePr w:type="firstRow">
      <w:rPr>
        <w:b/>
      </w:rPr>
      <w:tcPr>
        <w:tcBorders>
          <w:bottom w:val="single" w:color="4F81BD" w:themeColor="accent1" w:sz="12" w:space="0"/>
        </w:tcBorders>
      </w:tcPr>
    </w:tblStylePr>
    <w:tblStylePr w:type="lastCol">
      <w:rPr>
        <w:b/>
      </w:rPr>
    </w:tblStylePr>
    <w:tblStylePr w:type="lastRow">
      <w:rPr>
        <w:b/>
      </w:rPr>
    </w:tblStylePr>
  </w:style>
  <w:style w:type="table" w:styleId="1453" w:customStyle="1">
    <w:name w:val="Grid Table 1 Light - Accent 2"/>
    <w:basedOn w:val="1126"/>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b/>
      </w:rPr>
    </w:tblStylePr>
    <w:tblStylePr w:type="firstRow">
      <w:rPr>
        <w:b/>
      </w:rPr>
      <w:tcPr>
        <w:tcBorders>
          <w:bottom w:val="single" w:color="C0504D" w:themeColor="accent2" w:sz="12" w:space="0"/>
        </w:tcBorders>
      </w:tcPr>
    </w:tblStylePr>
    <w:tblStylePr w:type="lastCol">
      <w:rPr>
        <w:b/>
      </w:rPr>
    </w:tblStylePr>
    <w:tblStylePr w:type="lastRow">
      <w:rPr>
        <w:b/>
      </w:rPr>
    </w:tblStylePr>
  </w:style>
  <w:style w:type="table" w:styleId="1454" w:customStyle="1">
    <w:name w:val="Grid Table 1 Light - Accent 3"/>
    <w:basedOn w:val="1126"/>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b/>
      </w:rPr>
    </w:tblStylePr>
    <w:tblStylePr w:type="firstRow">
      <w:rPr>
        <w:b/>
      </w:rPr>
      <w:tcPr>
        <w:tcBorders>
          <w:bottom w:val="single" w:color="9BBB59" w:themeColor="accent3" w:sz="12" w:space="0"/>
        </w:tcBorders>
      </w:tcPr>
    </w:tblStylePr>
    <w:tblStylePr w:type="lastCol">
      <w:rPr>
        <w:b/>
      </w:rPr>
    </w:tblStylePr>
    <w:tblStylePr w:type="lastRow">
      <w:rPr>
        <w:b/>
      </w:rPr>
    </w:tblStylePr>
  </w:style>
  <w:style w:type="table" w:styleId="1455" w:customStyle="1">
    <w:name w:val="Grid Table 1 Light - Accent 4"/>
    <w:basedOn w:val="1126"/>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b/>
      </w:rPr>
    </w:tblStylePr>
    <w:tblStylePr w:type="firstRow">
      <w:rPr>
        <w:b/>
      </w:rPr>
      <w:tcPr>
        <w:tcBorders>
          <w:bottom w:val="single" w:color="8064A2" w:themeColor="accent4" w:sz="12" w:space="0"/>
        </w:tcBorders>
      </w:tcPr>
    </w:tblStylePr>
    <w:tblStylePr w:type="lastCol">
      <w:rPr>
        <w:b/>
      </w:rPr>
    </w:tblStylePr>
    <w:tblStylePr w:type="lastRow">
      <w:rPr>
        <w:b/>
      </w:rPr>
    </w:tblStylePr>
  </w:style>
  <w:style w:type="table" w:styleId="1456" w:customStyle="1">
    <w:name w:val="Grid Table 1 Light - Accent 5"/>
    <w:basedOn w:val="1126"/>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b/>
      </w:rPr>
    </w:tblStylePr>
    <w:tblStylePr w:type="firstRow">
      <w:rPr>
        <w:b/>
      </w:rPr>
      <w:tcPr>
        <w:tcBorders>
          <w:bottom w:val="single" w:color="4BACC6" w:themeColor="accent5" w:sz="12" w:space="0"/>
        </w:tcBorders>
      </w:tcPr>
    </w:tblStylePr>
    <w:tblStylePr w:type="lastCol">
      <w:rPr>
        <w:b/>
      </w:rPr>
    </w:tblStylePr>
    <w:tblStylePr w:type="lastRow">
      <w:rPr>
        <w:b/>
      </w:rPr>
    </w:tblStylePr>
  </w:style>
  <w:style w:type="table" w:styleId="1457" w:customStyle="1">
    <w:name w:val="Grid Table 1 Light - Accent 6"/>
    <w:basedOn w:val="112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b/>
      </w:rPr>
    </w:tblStylePr>
    <w:tblStylePr w:type="firstRow">
      <w:rPr>
        <w:b/>
      </w:rPr>
      <w:tcPr>
        <w:tcBorders>
          <w:bottom w:val="single" w:color="F79646" w:themeColor="accent6" w:sz="12" w:space="0"/>
        </w:tcBorders>
      </w:tcPr>
    </w:tblStylePr>
    <w:tblStylePr w:type="lastCol">
      <w:rPr>
        <w:b/>
      </w:rPr>
    </w:tblStylePr>
    <w:tblStylePr w:type="lastRow">
      <w:rPr>
        <w:b/>
      </w:rPr>
    </w:tblStylePr>
  </w:style>
  <w:style w:type="table" w:styleId="1458" w:customStyle="1">
    <w:name w:val="Таблица-сетка 21"/>
    <w:basedOn w:val="1126"/>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000000" w:themeColor="text1" w:sz="12" w:space="0"/>
          <w:right w:val="none" w:color="000000" w:sz="4" w:space="0"/>
        </w:tcBorders>
      </w:tcPr>
    </w:tblStylePr>
    <w:tblStylePr w:type="lastCol">
      <w:rPr>
        <w:b/>
      </w:rPr>
    </w:tblStylePr>
    <w:tblStylePr w:type="lastRow">
      <w:rPr>
        <w:b/>
      </w:rPr>
      <w:tcPr>
        <w:shd w:val="clear" w:color="ffffff" w:fill="auto"/>
        <w:tcBorders>
          <w:top w:val="single" w:color="000000" w:themeColor="text1" w:sz="4" w:space="0"/>
          <w:left w:val="none" w:color="000000" w:sz="4" w:space="0"/>
          <w:bottom w:val="none" w:color="000000" w:sz="4" w:space="0"/>
          <w:right w:val="none" w:color="000000" w:sz="4" w:space="0"/>
        </w:tcBorders>
      </w:tcPr>
    </w:tblStylePr>
  </w:style>
  <w:style w:type="table" w:styleId="1459" w:customStyle="1">
    <w:name w:val="Grid Table 2 - Accent 1"/>
    <w:basedOn w:val="1126"/>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sz w:val="22"/>
      </w:rPr>
      <w:tcPr>
        <w:shd w:val="clear" w:color="dae5f1" w:fill="dae5f1" w:themeFill="accent1" w:themeFillTint="34"/>
      </w:tcPr>
    </w:tblStylePr>
    <w:tblStylePr w:type="band1Vert">
      <w:rPr>
        <w:sz w:val="22"/>
      </w:rPr>
      <w:tcPr>
        <w:shd w:val="clear" w:color="dae5f1" w:fill="dae5f1" w:themeFill="accent1"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4F81BD" w:themeColor="accent1" w:sz="12" w:space="0"/>
          <w:right w:val="none" w:color="000000" w:sz="4" w:space="0"/>
        </w:tcBorders>
      </w:tcPr>
    </w:tblStylePr>
    <w:tblStylePr w:type="lastCol">
      <w:rPr>
        <w:b/>
      </w:rPr>
    </w:tblStylePr>
    <w:tblStylePr w:type="lastRow">
      <w:rPr>
        <w:b/>
      </w:rPr>
      <w:tcPr>
        <w:shd w:val="clear" w:color="ffffff" w:fill="auto"/>
        <w:tcBorders>
          <w:top w:val="single" w:color="4F81BD" w:themeColor="accent1" w:sz="4" w:space="0"/>
          <w:left w:val="none" w:color="000000" w:sz="4" w:space="0"/>
          <w:bottom w:val="none" w:color="000000" w:sz="4" w:space="0"/>
          <w:right w:val="none" w:color="000000" w:sz="4" w:space="0"/>
        </w:tcBorders>
      </w:tcPr>
    </w:tblStylePr>
  </w:style>
  <w:style w:type="table" w:styleId="1460" w:customStyle="1">
    <w:name w:val="Grid Table 2 - Accent 2"/>
    <w:basedOn w:val="1126"/>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sz w:val="22"/>
      </w:rPr>
      <w:tcPr>
        <w:shd w:val="clear" w:color="f2dcdc" w:fill="f2dcdc" w:themeFill="accent2" w:themeFillTint="32"/>
      </w:tcPr>
    </w:tblStylePr>
    <w:tblStylePr w:type="band1Vert">
      <w:rPr>
        <w:sz w:val="22"/>
      </w:rPr>
      <w:tcPr>
        <w:shd w:val="clear" w:color="f2dcdc" w:fill="f2dcdc" w:themeFill="accent2" w:themeFillTint="32"/>
      </w:tcPr>
    </w:tblStylePr>
    <w:tblStylePr w:type="firstCol">
      <w:rPr>
        <w:b/>
      </w:rPr>
    </w:tblStylePr>
    <w:tblStylePr w:type="firstRow">
      <w:rPr>
        <w:b/>
      </w:rPr>
      <w:tcPr>
        <w:shd w:val="clear" w:color="ffffff" w:fill="auto"/>
        <w:tcBorders>
          <w:top w:val="none" w:color="000000" w:sz="4" w:space="0"/>
          <w:left w:val="none" w:color="000000" w:sz="4" w:space="0"/>
          <w:bottom w:val="single" w:color="C0504D" w:themeColor="accent2" w:sz="12" w:space="0"/>
          <w:right w:val="none" w:color="000000" w:sz="4" w:space="0"/>
        </w:tcBorders>
      </w:tcPr>
    </w:tblStylePr>
    <w:tblStylePr w:type="lastCol">
      <w:rPr>
        <w:b/>
      </w:rPr>
    </w:tblStylePr>
    <w:tblStylePr w:type="lastRow">
      <w:rPr>
        <w:b/>
      </w:rPr>
      <w:tcPr>
        <w:shd w:val="clear" w:color="ffffff" w:fill="auto"/>
        <w:tcBorders>
          <w:top w:val="single" w:color="C0504D" w:themeColor="accent2" w:sz="4" w:space="0"/>
          <w:left w:val="none" w:color="000000" w:sz="4" w:space="0"/>
          <w:bottom w:val="none" w:color="000000" w:sz="4" w:space="0"/>
          <w:right w:val="none" w:color="000000" w:sz="4" w:space="0"/>
        </w:tcBorders>
      </w:tcPr>
    </w:tblStylePr>
  </w:style>
  <w:style w:type="table" w:styleId="1461" w:customStyle="1">
    <w:name w:val="Grid Table 2 - Accent 3"/>
    <w:basedOn w:val="1126"/>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sz w:val="22"/>
      </w:rPr>
      <w:tcPr>
        <w:shd w:val="clear" w:color="eaf1dc" w:fill="eaf1dc" w:themeFill="accent3" w:themeFillTint="34"/>
      </w:tcPr>
    </w:tblStylePr>
    <w:tblStylePr w:type="band1Vert">
      <w:rPr>
        <w:sz w:val="22"/>
      </w:rPr>
      <w:tcPr>
        <w:shd w:val="clear" w:color="eaf1dc" w:fill="eaf1dc" w:themeFill="accent3"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9BBB59" w:themeColor="accent3" w:sz="12" w:space="0"/>
          <w:right w:val="none" w:color="000000" w:sz="4" w:space="0"/>
        </w:tcBorders>
      </w:tcPr>
    </w:tblStylePr>
    <w:tblStylePr w:type="lastCol">
      <w:rPr>
        <w:b/>
      </w:rPr>
    </w:tblStylePr>
    <w:tblStylePr w:type="lastRow">
      <w:rPr>
        <w:b/>
      </w:rPr>
      <w:tcPr>
        <w:shd w:val="clear" w:color="ffffff" w:fill="auto"/>
        <w:tcBorders>
          <w:top w:val="single" w:color="9BBB59" w:themeColor="accent3" w:sz="4" w:space="0"/>
          <w:left w:val="none" w:color="000000" w:sz="4" w:space="0"/>
          <w:bottom w:val="none" w:color="000000" w:sz="4" w:space="0"/>
          <w:right w:val="none" w:color="000000" w:sz="4" w:space="0"/>
        </w:tcBorders>
      </w:tcPr>
    </w:tblStylePr>
  </w:style>
  <w:style w:type="table" w:styleId="1462" w:customStyle="1">
    <w:name w:val="Grid Table 2 - Accent 4"/>
    <w:basedOn w:val="1126"/>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sz w:val="22"/>
      </w:rPr>
      <w:tcPr>
        <w:shd w:val="clear" w:color="e5dfec" w:fill="e5dfec" w:themeFill="accent4" w:themeFillTint="34"/>
      </w:tcPr>
    </w:tblStylePr>
    <w:tblStylePr w:type="band1Vert">
      <w:rPr>
        <w:sz w:val="22"/>
      </w:rPr>
      <w:tcPr>
        <w:shd w:val="clear" w:color="e5dfec" w:fill="e5dfec" w:themeFill="accent4"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8064A2" w:themeColor="accent4" w:sz="12" w:space="0"/>
          <w:right w:val="none" w:color="000000" w:sz="4" w:space="0"/>
        </w:tcBorders>
      </w:tcPr>
    </w:tblStylePr>
    <w:tblStylePr w:type="lastCol">
      <w:rPr>
        <w:b/>
      </w:rPr>
    </w:tblStylePr>
    <w:tblStylePr w:type="lastRow">
      <w:rPr>
        <w:b/>
      </w:rPr>
      <w:tcPr>
        <w:shd w:val="clear" w:color="ffffff" w:fill="auto"/>
        <w:tcBorders>
          <w:top w:val="single" w:color="8064A2" w:themeColor="accent4" w:sz="4" w:space="0"/>
          <w:left w:val="none" w:color="000000" w:sz="4" w:space="0"/>
          <w:bottom w:val="none" w:color="000000" w:sz="4" w:space="0"/>
          <w:right w:val="none" w:color="000000" w:sz="4" w:space="0"/>
        </w:tcBorders>
      </w:tcPr>
    </w:tblStylePr>
  </w:style>
  <w:style w:type="table" w:styleId="1463" w:customStyle="1">
    <w:name w:val="Grid Table 2 - Accent 5"/>
    <w:basedOn w:val="1126"/>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sz w:val="22"/>
      </w:rPr>
      <w:tcPr>
        <w:shd w:val="clear" w:color="daeef3" w:fill="daeef3" w:themeFill="accent5" w:themeFillTint="34"/>
      </w:tcPr>
    </w:tblStylePr>
    <w:tblStylePr w:type="band1Vert">
      <w:rPr>
        <w:sz w:val="22"/>
      </w:rPr>
      <w:tcPr>
        <w:shd w:val="clear" w:color="daeef3" w:fill="daeef3" w:themeFill="accent5"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rPr>
    </w:tblStylePr>
    <w:tblStylePr w:type="lastRow">
      <w:rPr>
        <w:b/>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1464" w:customStyle="1">
    <w:name w:val="Grid Table 2 - Accent 6"/>
    <w:basedOn w:val="112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sz w:val="22"/>
      </w:rPr>
      <w:tcPr>
        <w:shd w:val="clear" w:color="fde9d8" w:fill="fde9d8" w:themeFill="accent6" w:themeFillTint="34"/>
      </w:tcPr>
    </w:tblStylePr>
    <w:tblStylePr w:type="band1Vert">
      <w:rPr>
        <w:sz w:val="22"/>
      </w:rPr>
      <w:tcPr>
        <w:shd w:val="clear" w:color="fde9d8" w:fill="fde9d8" w:themeFill="accent6" w:themeFillTint="34"/>
      </w:tcPr>
    </w:tblStylePr>
    <w:tblStylePr w:type="firstCol">
      <w:rPr>
        <w:b/>
      </w:rPr>
    </w:tblStylePr>
    <w:tblStylePr w:type="firstRow">
      <w:rPr>
        <w:b/>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rPr>
    </w:tblStylePr>
    <w:tblStylePr w:type="lastRow">
      <w:rPr>
        <w:b/>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1465" w:customStyle="1">
    <w:name w:val="Таблица-сетка 31"/>
    <w:basedOn w:val="1126"/>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66" w:customStyle="1">
    <w:name w:val="Grid Table 3 - Accent 1"/>
    <w:basedOn w:val="1126"/>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sz w:val="22"/>
      </w:rPr>
      <w:tcPr>
        <w:shd w:val="clear" w:color="dae5f1" w:fill="dae5f1" w:themeFill="accent1" w:themeFillTint="34"/>
      </w:tcPr>
    </w:tblStylePr>
    <w:tblStylePr w:type="band1Vert">
      <w:rPr>
        <w:sz w:val="22"/>
      </w:rPr>
      <w:tcPr>
        <w:shd w:val="clear" w:color="dae5f1" w:fill="dae5f1" w:themeFill="accent1"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67" w:customStyle="1">
    <w:name w:val="Grid Table 3 - Accent 2"/>
    <w:basedOn w:val="1126"/>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sz w:val="22"/>
      </w:rPr>
      <w:tcPr>
        <w:shd w:val="clear" w:color="f2dcdc" w:fill="f2dcdc" w:themeFill="accent2" w:themeFillTint="32"/>
      </w:tcPr>
    </w:tblStylePr>
    <w:tblStylePr w:type="band1Vert">
      <w:rPr>
        <w:sz w:val="22"/>
      </w:rPr>
      <w:tcPr>
        <w:shd w:val="clear" w:color="f2dcdc" w:fill="f2dcdc" w:themeFill="accent2" w:themeFillTint="32"/>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68" w:customStyle="1">
    <w:name w:val="Grid Table 3 - Accent 3"/>
    <w:basedOn w:val="1126"/>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sz w:val="22"/>
      </w:rPr>
      <w:tcPr>
        <w:shd w:val="clear" w:color="eaf1dc" w:fill="eaf1dc" w:themeFill="accent3" w:themeFillTint="34"/>
      </w:tcPr>
    </w:tblStylePr>
    <w:tblStylePr w:type="band1Vert">
      <w:rPr>
        <w:sz w:val="22"/>
      </w:rPr>
      <w:tcPr>
        <w:shd w:val="clear" w:color="eaf1dc" w:fill="eaf1dc" w:themeFill="accent3"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69" w:customStyle="1">
    <w:name w:val="Grid Table 3 - Accent 4"/>
    <w:basedOn w:val="1126"/>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sz w:val="22"/>
      </w:rPr>
      <w:tcPr>
        <w:shd w:val="clear" w:color="e5dfec" w:fill="e5dfec" w:themeFill="accent4" w:themeFillTint="34"/>
      </w:tcPr>
    </w:tblStylePr>
    <w:tblStylePr w:type="band1Vert">
      <w:rPr>
        <w:sz w:val="22"/>
      </w:rPr>
      <w:tcPr>
        <w:shd w:val="clear" w:color="e5dfec" w:fill="e5dfec" w:themeFill="accent4"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70" w:customStyle="1">
    <w:name w:val="Grid Table 3 - Accent 5"/>
    <w:basedOn w:val="1126"/>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sz w:val="22"/>
      </w:rPr>
      <w:tcPr>
        <w:shd w:val="clear" w:color="daeef3" w:fill="daeef3" w:themeFill="accent5" w:themeFillTint="34"/>
      </w:tcPr>
    </w:tblStylePr>
    <w:tblStylePr w:type="band1Vert">
      <w:rPr>
        <w:sz w:val="22"/>
      </w:rPr>
      <w:tcPr>
        <w:shd w:val="clear" w:color="daeef3" w:fill="daeef3" w:themeFill="accent5"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71" w:customStyle="1">
    <w:name w:val="Grid Table 3 - Accent 6"/>
    <w:basedOn w:val="1126"/>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sz w:val="22"/>
      </w:rPr>
      <w:tcPr>
        <w:shd w:val="clear" w:color="fde9d8" w:fill="fde9d8" w:themeFill="accent6" w:themeFillTint="34"/>
      </w:tcPr>
    </w:tblStylePr>
    <w:tblStylePr w:type="band1Vert">
      <w:rPr>
        <w:sz w:val="22"/>
      </w:rPr>
      <w:tcPr>
        <w:shd w:val="clear" w:color="fde9d8" w:fill="fde9d8" w:themeFill="accent6" w:themeFillTint="34"/>
      </w:tcPr>
    </w:tblStylePr>
    <w:tblStylePr w:type="firstCol">
      <w:rPr>
        <w:i/>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472" w:customStyle="1">
    <w:name w:val="Таблица-сетка 41"/>
    <w:basedOn w:val="1126"/>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sz w:val="22"/>
      </w:rPr>
      <w:tcPr>
        <w:shd w:val="clear" w:color="cbcbcb" w:fill="cbcbcb" w:themeFill="text1" w:themeFillTint="34"/>
      </w:tcPr>
    </w:tblStylePr>
    <w:tblStylePr w:type="band1Vert">
      <w:rPr>
        <w:sz w:val="22"/>
      </w:rPr>
      <w:tcPr>
        <w:shd w:val="clear" w:color="cbcbcb" w:fill="cbcbcb" w:themeFill="text1" w:themeFillTint="34"/>
      </w:tcPr>
    </w:tblStylePr>
    <w:tblStylePr w:type="firstCol">
      <w:rPr>
        <w:b/>
      </w:rPr>
    </w:tblStylePr>
    <w:tblStylePr w:type="firstRow">
      <w:rPr>
        <w:b/>
        <w:sz w:val="22"/>
      </w:r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tblStylePr>
    <w:tblStylePr w:type="lastRow">
      <w:rPr>
        <w:b/>
      </w:rPr>
      <w:tcPr>
        <w:tcBorders>
          <w:top w:val="single" w:color="000000" w:themeColor="text1" w:sz="4" w:space="0"/>
        </w:tcBorders>
      </w:tcPr>
    </w:tblStylePr>
  </w:style>
  <w:style w:type="table" w:styleId="1473" w:customStyle="1">
    <w:name w:val="Grid Table 4 - Accent 1"/>
    <w:basedOn w:val="1126"/>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108" w:type="dxa"/>
        <w:top w:w="0" w:type="dxa"/>
        <w:right w:w="108" w:type="dxa"/>
        <w:bottom w:w="0" w:type="dxa"/>
      </w:tblCellMar>
    </w:tblPr>
    <w:tblStylePr w:type="band1Horz">
      <w:rPr>
        <w:sz w:val="22"/>
      </w:rPr>
      <w:tcPr>
        <w:shd w:val="clear" w:color="dce6f2" w:fill="dce6f2" w:themeFill="accent1" w:themeFillTint="32"/>
      </w:tcPr>
    </w:tblStylePr>
    <w:tblStylePr w:type="band1Vert">
      <w:rPr>
        <w:sz w:val="22"/>
      </w:rPr>
      <w:tcPr>
        <w:shd w:val="clear" w:color="dce6f2" w:fill="dce6f2" w:themeFill="accent1" w:themeFillTint="32"/>
      </w:tcPr>
    </w:tblStylePr>
    <w:tblStylePr w:type="firstCol">
      <w:rPr>
        <w:b/>
      </w:rPr>
    </w:tblStylePr>
    <w:tblStylePr w:type="firstRow">
      <w:rPr>
        <w:b/>
        <w:sz w:val="22"/>
      </w:rPr>
      <w:tcPr>
        <w:shd w:val="clear" w:color="5d8ac2" w:fill="5d8ac2" w:themeFill="accent1" w:themeFillTint="EA"/>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lastCol">
      <w:rPr>
        <w:b/>
      </w:rPr>
    </w:tblStylePr>
    <w:tblStylePr w:type="lastRow">
      <w:rPr>
        <w:b/>
      </w:rPr>
      <w:tcPr>
        <w:tcBorders>
          <w:top w:val="single" w:color="4F81BD" w:themeColor="accent1" w:sz="4" w:space="0"/>
        </w:tcBorders>
      </w:tcPr>
    </w:tblStylePr>
  </w:style>
  <w:style w:type="table" w:styleId="1474" w:customStyle="1">
    <w:name w:val="Grid Table 4 - Accent 2"/>
    <w:basedOn w:val="1126"/>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108" w:type="dxa"/>
        <w:top w:w="0" w:type="dxa"/>
        <w:right w:w="108" w:type="dxa"/>
        <w:bottom w:w="0" w:type="dxa"/>
      </w:tblCellMar>
    </w:tblPr>
    <w:tblStylePr w:type="band1Horz">
      <w:rPr>
        <w:sz w:val="22"/>
      </w:rPr>
      <w:tcPr>
        <w:shd w:val="clear" w:color="f2dcdc" w:fill="f2dcdc" w:themeFill="accent2" w:themeFillTint="32"/>
      </w:tcPr>
    </w:tblStylePr>
    <w:tblStylePr w:type="band1Vert">
      <w:rPr>
        <w:sz w:val="22"/>
      </w:rPr>
      <w:tcPr>
        <w:shd w:val="clear" w:color="f2dcdc" w:fill="f2dcdc" w:themeFill="accent2" w:themeFillTint="32"/>
      </w:tcPr>
    </w:tblStylePr>
    <w:tblStylePr w:type="firstCol">
      <w:rPr>
        <w:b/>
      </w:rPr>
    </w:tblStylePr>
    <w:tblStylePr w:type="firstRow">
      <w:rPr>
        <w:b/>
        <w:sz w:val="22"/>
      </w:rPr>
      <w:tcPr>
        <w:shd w:val="clear" w:color="d99695" w:fill="d99695" w:themeFill="accent2" w:themeFillTint="97"/>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lastCol">
      <w:rPr>
        <w:b/>
      </w:rPr>
    </w:tblStylePr>
    <w:tblStylePr w:type="lastRow">
      <w:rPr>
        <w:b/>
      </w:rPr>
      <w:tcPr>
        <w:tcBorders>
          <w:top w:val="single" w:color="C0504D" w:themeColor="accent2" w:sz="4" w:space="0"/>
        </w:tcBorders>
      </w:tcPr>
    </w:tblStylePr>
  </w:style>
  <w:style w:type="table" w:styleId="1475" w:customStyle="1">
    <w:name w:val="Grid Table 4 - Accent 3"/>
    <w:basedOn w:val="1126"/>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108" w:type="dxa"/>
        <w:top w:w="0" w:type="dxa"/>
        <w:right w:w="108" w:type="dxa"/>
        <w:bottom w:w="0" w:type="dxa"/>
      </w:tblCellMar>
    </w:tblPr>
    <w:tblStylePr w:type="band1Horz">
      <w:rPr>
        <w:sz w:val="22"/>
      </w:rPr>
      <w:tcPr>
        <w:shd w:val="clear" w:color="eaf1dc" w:fill="eaf1dc" w:themeFill="accent3" w:themeFillTint="34"/>
      </w:tcPr>
    </w:tblStylePr>
    <w:tblStylePr w:type="band1Vert">
      <w:rPr>
        <w:sz w:val="22"/>
      </w:rPr>
      <w:tcPr>
        <w:shd w:val="clear" w:color="eaf1dc" w:fill="eaf1dc" w:themeFill="accent3" w:themeFillTint="34"/>
      </w:tcPr>
    </w:tblStylePr>
    <w:tblStylePr w:type="firstCol">
      <w:rPr>
        <w:b/>
      </w:rPr>
    </w:tblStylePr>
    <w:tblStylePr w:type="firstRow">
      <w:rPr>
        <w:b/>
        <w:sz w:val="22"/>
      </w:rPr>
      <w:tcPr>
        <w:shd w:val="clear" w:color="9abb59" w:fill="9abb59" w:themeFill="accent3" w:themeFillTint="FE"/>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lastCol">
      <w:rPr>
        <w:b/>
      </w:rPr>
    </w:tblStylePr>
    <w:tblStylePr w:type="lastRow">
      <w:rPr>
        <w:b/>
      </w:rPr>
      <w:tcPr>
        <w:tcBorders>
          <w:top w:val="single" w:color="9BBB59" w:themeColor="accent3" w:sz="4" w:space="0"/>
        </w:tcBorders>
      </w:tcPr>
    </w:tblStylePr>
  </w:style>
  <w:style w:type="table" w:styleId="1476" w:customStyle="1">
    <w:name w:val="Grid Table 4 - Accent 4"/>
    <w:basedOn w:val="1126"/>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108" w:type="dxa"/>
        <w:top w:w="0" w:type="dxa"/>
        <w:right w:w="108" w:type="dxa"/>
        <w:bottom w:w="0" w:type="dxa"/>
      </w:tblCellMar>
    </w:tblPr>
    <w:tblStylePr w:type="band1Horz">
      <w:rPr>
        <w:sz w:val="22"/>
      </w:rPr>
      <w:tcPr>
        <w:shd w:val="clear" w:color="e5dfec" w:fill="e5dfec" w:themeFill="accent4" w:themeFillTint="34"/>
      </w:tcPr>
    </w:tblStylePr>
    <w:tblStylePr w:type="band1Vert">
      <w:rPr>
        <w:sz w:val="22"/>
      </w:rPr>
      <w:tcPr>
        <w:shd w:val="clear" w:color="e5dfec" w:fill="e5dfec" w:themeFill="accent4" w:themeFillTint="34"/>
      </w:tcPr>
    </w:tblStylePr>
    <w:tblStylePr w:type="firstCol">
      <w:rPr>
        <w:b/>
      </w:rPr>
    </w:tblStylePr>
    <w:tblStylePr w:type="firstRow">
      <w:rPr>
        <w:b/>
        <w:sz w:val="22"/>
      </w:rPr>
      <w:tcPr>
        <w:shd w:val="clear" w:color="b2a1c6" w:fill="b2a1c6" w:themeFill="accent4" w:themeFillTint="9A"/>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lastCol">
      <w:rPr>
        <w:b/>
      </w:rPr>
    </w:tblStylePr>
    <w:tblStylePr w:type="lastRow">
      <w:rPr>
        <w:b/>
      </w:rPr>
      <w:tcPr>
        <w:tcBorders>
          <w:top w:val="single" w:color="8064A2" w:themeColor="accent4" w:sz="4" w:space="0"/>
        </w:tcBorders>
      </w:tcPr>
    </w:tblStylePr>
  </w:style>
  <w:style w:type="table" w:styleId="1477" w:customStyle="1">
    <w:name w:val="Grid Table 4 - Accent 5"/>
    <w:basedOn w:val="1126"/>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sz w:val="22"/>
      </w:rPr>
      <w:tcPr>
        <w:shd w:val="clear" w:color="daeef3" w:fill="daeef3" w:themeFill="accent5" w:themeFillTint="34"/>
      </w:tcPr>
    </w:tblStylePr>
    <w:tblStylePr w:type="band1Vert">
      <w:rPr>
        <w:sz w:val="22"/>
      </w:rPr>
      <w:tcPr>
        <w:shd w:val="clear" w:color="daeef3" w:fill="daeef3" w:themeFill="accent5" w:themeFillTint="34"/>
      </w:tcPr>
    </w:tblStylePr>
    <w:tblStylePr w:type="firstCol">
      <w:rPr>
        <w:b/>
      </w:rPr>
    </w:tblStylePr>
    <w:tblStylePr w:type="firstRow">
      <w:rPr>
        <w:b/>
        <w:sz w:val="22"/>
      </w:r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rPr>
    </w:tblStylePr>
    <w:tblStylePr w:type="lastRow">
      <w:rPr>
        <w:b/>
      </w:rPr>
      <w:tcPr>
        <w:tcBorders>
          <w:top w:val="single" w:color="4BACC6" w:themeColor="accent5" w:sz="4" w:space="0"/>
        </w:tcBorders>
      </w:tcPr>
    </w:tblStylePr>
  </w:style>
  <w:style w:type="table" w:styleId="1478" w:customStyle="1">
    <w:name w:val="Grid Table 4 - Accent 6"/>
    <w:basedOn w:val="1126"/>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sz w:val="22"/>
      </w:rPr>
      <w:tcPr>
        <w:shd w:val="clear" w:color="fde9d8" w:fill="fde9d8" w:themeFill="accent6" w:themeFillTint="34"/>
      </w:tcPr>
    </w:tblStylePr>
    <w:tblStylePr w:type="band1Vert">
      <w:rPr>
        <w:sz w:val="22"/>
      </w:rPr>
      <w:tcPr>
        <w:shd w:val="clear" w:color="fde9d8" w:fill="fde9d8" w:themeFill="accent6" w:themeFillTint="34"/>
      </w:tcPr>
    </w:tblStylePr>
    <w:tblStylePr w:type="firstCol">
      <w:rPr>
        <w:b/>
      </w:rPr>
    </w:tblStylePr>
    <w:tblStylePr w:type="firstRow">
      <w:rPr>
        <w:b/>
        <w:sz w:val="22"/>
      </w:r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rPr>
    </w:tblStylePr>
    <w:tblStylePr w:type="lastRow">
      <w:rPr>
        <w:b/>
      </w:rPr>
      <w:tcPr>
        <w:tcBorders>
          <w:top w:val="single" w:color="F79646" w:themeColor="accent6" w:sz="4" w:space="0"/>
        </w:tcBorders>
      </w:tcPr>
    </w:tblStylePr>
  </w:style>
  <w:style w:type="table" w:styleId="1479" w:customStyle="1">
    <w:name w:val="Таблица-сетка 5 темная1"/>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8a8a8a" w:fill="8a8a8a" w:themeFill="text1" w:themeFillTint="75"/>
      </w:tcPr>
    </w:tblStylePr>
    <w:tblStylePr w:type="band1Vert">
      <w:tcPr>
        <w:shd w:val="clear" w:color="8a8a8a" w:fill="8a8a8a" w:themeFill="text1" w:themeFillTint="75"/>
      </w:tcPr>
    </w:tblStylePr>
    <w:tblStylePr w:type="firstCol">
      <w:rPr>
        <w:b/>
        <w:sz w:val="22"/>
      </w:rPr>
      <w:tcPr>
        <w:shd w:val="clear" w:color="000000" w:fill="000000" w:themeFill="text1"/>
      </w:tcPr>
    </w:tblStylePr>
    <w:tblStylePr w:type="firstRow">
      <w:rPr>
        <w:b/>
        <w:sz w:val="22"/>
      </w:rPr>
      <w:tcPr>
        <w:shd w:val="clear" w:color="000000" w:fill="000000" w:themeFill="text1"/>
      </w:tcPr>
    </w:tblStylePr>
    <w:tblStylePr w:type="lastCol">
      <w:rPr>
        <w:b/>
        <w:sz w:val="22"/>
      </w:rPr>
      <w:tcPr>
        <w:shd w:val="clear" w:color="000000" w:fill="000000" w:themeFill="text1"/>
      </w:tcPr>
    </w:tblStylePr>
    <w:tblStylePr w:type="lastRow">
      <w:rPr>
        <w:b/>
        <w:sz w:val="22"/>
      </w:rPr>
      <w:tcPr>
        <w:shd w:val="clear" w:color="000000" w:fill="000000" w:themeFill="text1"/>
        <w:tcBorders>
          <w:top w:val="single" w:color="FFFFFF" w:themeColor="light1" w:sz="4" w:space="0"/>
        </w:tcBorders>
      </w:tcPr>
    </w:tblStylePr>
  </w:style>
  <w:style w:type="table" w:styleId="1480" w:customStyle="1">
    <w:name w:val="Grid Table 5 Dark- Accent 1"/>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aec4e0" w:fill="aec4e0" w:themeFill="accent1" w:themeFillTint="75"/>
      </w:tcPr>
    </w:tblStylePr>
    <w:tblStylePr w:type="band1Vert">
      <w:tcPr>
        <w:shd w:val="clear" w:color="aec4e0" w:fill="aec4e0" w:themeFill="accent1" w:themeFillTint="75"/>
      </w:tcPr>
    </w:tblStylePr>
    <w:tblStylePr w:type="firstCol">
      <w:rPr>
        <w:b/>
        <w:sz w:val="22"/>
      </w:rPr>
      <w:tcPr>
        <w:shd w:val="clear" w:color="4f81bd" w:fill="4f81bd" w:themeFill="accent1"/>
      </w:tcPr>
    </w:tblStylePr>
    <w:tblStylePr w:type="firstRow">
      <w:rPr>
        <w:b/>
        <w:sz w:val="22"/>
      </w:rPr>
      <w:tcPr>
        <w:shd w:val="clear" w:color="4f81bd" w:fill="4f81bd" w:themeFill="accent1"/>
      </w:tcPr>
    </w:tblStylePr>
    <w:tblStylePr w:type="lastCol">
      <w:rPr>
        <w:b/>
        <w:sz w:val="22"/>
      </w:rPr>
      <w:tcPr>
        <w:shd w:val="clear" w:color="4f81bd" w:fill="4f81bd" w:themeFill="accent1"/>
      </w:tcPr>
    </w:tblStylePr>
    <w:tblStylePr w:type="lastRow">
      <w:rPr>
        <w:b/>
        <w:sz w:val="22"/>
      </w:rPr>
      <w:tcPr>
        <w:shd w:val="clear" w:color="4f81bd" w:fill="4f81bd" w:themeFill="accent1"/>
        <w:tcBorders>
          <w:top w:val="single" w:color="FFFFFF" w:themeColor="light1" w:sz="4" w:space="0"/>
        </w:tcBorders>
      </w:tcPr>
    </w:tblStylePr>
  </w:style>
  <w:style w:type="table" w:styleId="1481" w:customStyle="1">
    <w:name w:val="Grid Table 5 Dark - Accent 2"/>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e2aead" w:fill="e2aead" w:themeFill="accent2" w:themeFillTint="75"/>
      </w:tcPr>
    </w:tblStylePr>
    <w:tblStylePr w:type="band1Vert">
      <w:tcPr>
        <w:shd w:val="clear" w:color="e2aead" w:fill="e2aead" w:themeFill="accent2" w:themeFillTint="75"/>
      </w:tcPr>
    </w:tblStylePr>
    <w:tblStylePr w:type="firstCol">
      <w:rPr>
        <w:b/>
        <w:sz w:val="22"/>
      </w:rPr>
      <w:tcPr>
        <w:shd w:val="clear" w:color="c0504d" w:fill="c0504d" w:themeFill="accent2"/>
      </w:tcPr>
    </w:tblStylePr>
    <w:tblStylePr w:type="firstRow">
      <w:rPr>
        <w:b/>
        <w:sz w:val="22"/>
      </w:rPr>
      <w:tcPr>
        <w:shd w:val="clear" w:color="c0504d" w:fill="c0504d" w:themeFill="accent2"/>
      </w:tcPr>
    </w:tblStylePr>
    <w:tblStylePr w:type="lastCol">
      <w:rPr>
        <w:b/>
        <w:sz w:val="22"/>
      </w:rPr>
      <w:tcPr>
        <w:shd w:val="clear" w:color="c0504d" w:fill="c0504d" w:themeFill="accent2"/>
      </w:tcPr>
    </w:tblStylePr>
    <w:tblStylePr w:type="lastRow">
      <w:rPr>
        <w:b/>
        <w:sz w:val="22"/>
      </w:rPr>
      <w:tcPr>
        <w:shd w:val="clear" w:color="c0504d" w:fill="c0504d" w:themeFill="accent2"/>
        <w:tcBorders>
          <w:top w:val="single" w:color="FFFFFF" w:themeColor="light1" w:sz="4" w:space="0"/>
        </w:tcBorders>
      </w:tcPr>
    </w:tblStylePr>
  </w:style>
  <w:style w:type="table" w:styleId="1482" w:customStyle="1">
    <w:name w:val="Grid Table 5 Dark - Accent 3"/>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d0dfb2" w:fill="d0dfb2" w:themeFill="accent3" w:themeFillTint="75"/>
      </w:tcPr>
    </w:tblStylePr>
    <w:tblStylePr w:type="band1Vert">
      <w:tcPr>
        <w:shd w:val="clear" w:color="d0dfb2" w:fill="d0dfb2" w:themeFill="accent3" w:themeFillTint="75"/>
      </w:tcPr>
    </w:tblStylePr>
    <w:tblStylePr w:type="firstCol">
      <w:rPr>
        <w:b/>
        <w:sz w:val="22"/>
      </w:rPr>
      <w:tcPr>
        <w:shd w:val="clear" w:color="9bbb59" w:fill="9bbb59" w:themeFill="accent3"/>
      </w:tcPr>
    </w:tblStylePr>
    <w:tblStylePr w:type="firstRow">
      <w:rPr>
        <w:b/>
        <w:sz w:val="22"/>
      </w:rPr>
      <w:tcPr>
        <w:shd w:val="clear" w:color="9bbb59" w:fill="9bbb59" w:themeFill="accent3"/>
      </w:tcPr>
    </w:tblStylePr>
    <w:tblStylePr w:type="lastCol">
      <w:rPr>
        <w:b/>
        <w:sz w:val="22"/>
      </w:rPr>
      <w:tcPr>
        <w:shd w:val="clear" w:color="9bbb59" w:fill="9bbb59" w:themeFill="accent3"/>
      </w:tcPr>
    </w:tblStylePr>
    <w:tblStylePr w:type="lastRow">
      <w:rPr>
        <w:b/>
        <w:sz w:val="22"/>
      </w:rPr>
      <w:tcPr>
        <w:shd w:val="clear" w:color="9bbb59" w:fill="9bbb59" w:themeFill="accent3"/>
        <w:tcBorders>
          <w:top w:val="single" w:color="FFFFFF" w:themeColor="light1" w:sz="4" w:space="0"/>
        </w:tcBorders>
      </w:tcPr>
    </w:tblStylePr>
  </w:style>
  <w:style w:type="table" w:styleId="1483" w:customStyle="1">
    <w:name w:val="Grid Table 5 Dark- Accent 4"/>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c4b7d4" w:fill="c4b7d4" w:themeFill="accent4" w:themeFillTint="75"/>
      </w:tcPr>
    </w:tblStylePr>
    <w:tblStylePr w:type="band1Vert">
      <w:tcPr>
        <w:shd w:val="clear" w:color="c4b7d4" w:fill="c4b7d4" w:themeFill="accent4" w:themeFillTint="75"/>
      </w:tcPr>
    </w:tblStylePr>
    <w:tblStylePr w:type="firstCol">
      <w:rPr>
        <w:b/>
        <w:sz w:val="22"/>
      </w:rPr>
      <w:tcPr>
        <w:shd w:val="clear" w:color="8064a2" w:fill="8064a2" w:themeFill="accent4"/>
      </w:tcPr>
    </w:tblStylePr>
    <w:tblStylePr w:type="firstRow">
      <w:rPr>
        <w:b/>
        <w:sz w:val="22"/>
      </w:rPr>
      <w:tcPr>
        <w:shd w:val="clear" w:color="8064a2" w:fill="8064a2" w:themeFill="accent4"/>
      </w:tcPr>
    </w:tblStylePr>
    <w:tblStylePr w:type="lastCol">
      <w:rPr>
        <w:b/>
        <w:sz w:val="22"/>
      </w:rPr>
      <w:tcPr>
        <w:shd w:val="clear" w:color="8064a2" w:fill="8064a2" w:themeFill="accent4"/>
      </w:tcPr>
    </w:tblStylePr>
    <w:tblStylePr w:type="lastRow">
      <w:rPr>
        <w:b/>
        <w:sz w:val="22"/>
      </w:rPr>
      <w:tcPr>
        <w:shd w:val="clear" w:color="8064a2" w:fill="8064a2" w:themeFill="accent4"/>
        <w:tcBorders>
          <w:top w:val="single" w:color="FFFFFF" w:themeColor="light1" w:sz="4" w:space="0"/>
        </w:tcBorders>
      </w:tcPr>
    </w:tblStylePr>
  </w:style>
  <w:style w:type="table" w:styleId="1484" w:customStyle="1">
    <w:name w:val="Grid Table 5 Dark - Accent 5"/>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acd8e4" w:fill="acd8e4" w:themeFill="accent5" w:themeFillTint="75"/>
      </w:tcPr>
    </w:tblStylePr>
    <w:tblStylePr w:type="band1Vert">
      <w:tcPr>
        <w:shd w:val="clear" w:color="acd8e4" w:fill="acd8e4" w:themeFill="accent5" w:themeFillTint="75"/>
      </w:tcPr>
    </w:tblStylePr>
    <w:tblStylePr w:type="firstCol">
      <w:rPr>
        <w:b/>
        <w:sz w:val="22"/>
      </w:rPr>
      <w:tcPr>
        <w:shd w:val="clear" w:color="4bacc6" w:fill="4bacc6" w:themeFill="accent5"/>
      </w:tcPr>
    </w:tblStylePr>
    <w:tblStylePr w:type="firstRow">
      <w:rPr>
        <w:b/>
        <w:sz w:val="22"/>
      </w:rPr>
      <w:tcPr>
        <w:shd w:val="clear" w:color="4bacc6" w:fill="4bacc6" w:themeFill="accent5"/>
      </w:tcPr>
    </w:tblStylePr>
    <w:tblStylePr w:type="lastCol">
      <w:rPr>
        <w:b/>
        <w:sz w:val="22"/>
      </w:rPr>
      <w:tcPr>
        <w:shd w:val="clear" w:color="4bacc6" w:fill="4bacc6" w:themeFill="accent5"/>
      </w:tcPr>
    </w:tblStylePr>
    <w:tblStylePr w:type="lastRow">
      <w:rPr>
        <w:b/>
        <w:sz w:val="22"/>
      </w:rPr>
      <w:tcPr>
        <w:shd w:val="clear" w:color="4bacc6" w:fill="4bacc6" w:themeFill="accent5"/>
        <w:tcBorders>
          <w:top w:val="single" w:color="FFFFFF" w:themeColor="light1" w:sz="4" w:space="0"/>
        </w:tcBorders>
      </w:tcPr>
    </w:tblStylePr>
  </w:style>
  <w:style w:type="table" w:styleId="1485" w:customStyle="1">
    <w:name w:val="Grid Table 5 Dark - Accent 6"/>
    <w:basedOn w:val="1126"/>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left w:w="108" w:type="dxa"/>
        <w:top w:w="0" w:type="dxa"/>
        <w:right w:w="108" w:type="dxa"/>
        <w:bottom w:w="0" w:type="dxa"/>
      </w:tblCellMar>
    </w:tblPr>
    <w:tblStylePr w:type="band1Horz">
      <w:tcPr>
        <w:shd w:val="clear" w:color="fbceaa" w:fill="fbceaa" w:themeFill="accent6" w:themeFillTint="75"/>
      </w:tcPr>
    </w:tblStylePr>
    <w:tblStylePr w:type="band1Vert">
      <w:tcPr>
        <w:shd w:val="clear" w:color="fbceaa" w:fill="fbceaa" w:themeFill="accent6" w:themeFillTint="75"/>
      </w:tcPr>
    </w:tblStylePr>
    <w:tblStylePr w:type="firstCol">
      <w:rPr>
        <w:b/>
        <w:sz w:val="22"/>
      </w:rPr>
      <w:tcPr>
        <w:shd w:val="clear" w:color="f79646" w:fill="f79646" w:themeFill="accent6"/>
      </w:tcPr>
    </w:tblStylePr>
    <w:tblStylePr w:type="firstRow">
      <w:rPr>
        <w:b/>
        <w:sz w:val="22"/>
      </w:rPr>
      <w:tcPr>
        <w:shd w:val="clear" w:color="f79646" w:fill="f79646" w:themeFill="accent6"/>
      </w:tcPr>
    </w:tblStylePr>
    <w:tblStylePr w:type="lastCol">
      <w:rPr>
        <w:b/>
        <w:sz w:val="22"/>
      </w:rPr>
      <w:tcPr>
        <w:shd w:val="clear" w:color="f79646" w:fill="f79646" w:themeFill="accent6"/>
      </w:tcPr>
    </w:tblStylePr>
    <w:tblStylePr w:type="lastRow">
      <w:rPr>
        <w:b/>
        <w:sz w:val="22"/>
      </w:rPr>
      <w:tcPr>
        <w:shd w:val="clear" w:color="f79646" w:fill="f79646" w:themeFill="accent6"/>
        <w:tcBorders>
          <w:top w:val="single" w:color="FFFFFF" w:themeColor="light1" w:sz="4" w:space="0"/>
        </w:tcBorders>
      </w:tcPr>
    </w:tblStylePr>
  </w:style>
  <w:style w:type="table" w:styleId="1486" w:customStyle="1">
    <w:name w:val="Таблица-сетка 6 цветная1"/>
    <w:basedOn w:val="1126"/>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cbcbcb" w:fill="cbcbcb" w:themeFill="text1" w:themeFillTint="34"/>
      </w:tcPr>
    </w:tblStylePr>
    <w:tblStylePr w:type="band1Vert">
      <w:tcPr>
        <w:shd w:val="clear" w:color="cbcbcb" w:fill="cbcbcb" w:themeFill="text1" w:themeFillTint="34"/>
      </w:tcPr>
    </w:tblStylePr>
    <w:tblStylePr w:type="band2Horz">
      <w:rPr>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000000" w:themeColor="text1"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487" w:customStyle="1">
    <w:name w:val="Grid Table 6 Colorful - Accent 1"/>
    <w:basedOn w:val="1126"/>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4F81BD" w:themeColor="accent1"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1488" w:customStyle="1">
    <w:name w:val="Grid Table 6 Colorful - Accent 2"/>
    <w:basedOn w:val="1126"/>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1489" w:customStyle="1">
    <w:name w:val="Grid Table 6 Colorful - Accent 3"/>
    <w:basedOn w:val="1126"/>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BBB59" w:themeColor="accent3"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1490" w:customStyle="1">
    <w:name w:val="Grid Table 6 Colorful - Accent 4"/>
    <w:basedOn w:val="1126"/>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1491" w:customStyle="1">
    <w:name w:val="Grid Table 6 Colorful - Accent 5"/>
    <w:basedOn w:val="1126"/>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492" w:customStyle="1">
    <w:name w:val="Grid Table 6 Colorful - Accent 6"/>
    <w:basedOn w:val="112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color w:val="266779" w:themeColor="accent5"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1493" w:customStyle="1">
    <w:name w:val="Таблица-сетка 7 цветная1"/>
    <w:basedOn w:val="1126"/>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f2f2f2" w:fill="ffffff" w:themeFill="text1" w:themeFillTint="00"/>
      </w:tcPr>
    </w:tblStylePr>
    <w:tblStylePr w:type="band1Vert">
      <w:tcPr>
        <w:shd w:val="clear" w:color="f2f2f2" w:fill="ffffff" w:themeFill="text1" w:themeFillTint="0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b/>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b/>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494" w:customStyle="1">
    <w:name w:val="Grid Table 7 Colorful - Accent 1"/>
    <w:basedOn w:val="1126"/>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color w:val="a6bfdd" w:themeColor="accent1" w:themeTint="80" w:themeShade="95"/>
        <w:sz w:val="22"/>
      </w:rPr>
      <w:tcPr>
        <w:shd w:val="clear" w:color="dae5f1" w:fill="dae5f1" w:themeFill="accent1" w:themeFillTint="34"/>
      </w:tcPr>
    </w:tblStylePr>
    <w:tblStylePr w:type="band1Vert">
      <w:tcPr>
        <w:shd w:val="clear" w:color="dae5f1" w:fill="dae5f1" w:themeFill="accent1" w:themeFillTint="34"/>
      </w:tcPr>
    </w:tblStylePr>
    <w:tblStylePr w:type="band2Horz">
      <w:rPr>
        <w:color w:val="a6bfdd" w:themeColor="accent1" w:themeTint="80" w:themeShade="95"/>
        <w:sz w:val="22"/>
      </w:rPr>
    </w:tblStylePr>
    <w:tblStylePr w:type="firstCol">
      <w:rPr>
        <w:i/>
        <w:color w:val="a6bfdd" w:themeColor="accent1" w:themeTint="80"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b/>
        <w:color w:val="a6bfdd" w:themeColor="accent1" w:themeTint="80" w:themeShade="95"/>
        <w:sz w:val="22"/>
      </w:rPr>
      <w:tcPr>
        <w:shd w:val="clear" w:color="ffffff"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i/>
        <w:color w:val="a6bfdd" w:themeColor="accent1" w:themeTint="80"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b/>
        <w:color w:val="a6bfdd" w:themeColor="accent1" w:themeTint="80" w:themeShade="95"/>
        <w:sz w:val="22"/>
      </w:rPr>
      <w:tcPr>
        <w:shd w:val="clear" w:color="ffffff"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495" w:customStyle="1">
    <w:name w:val="Grid Table 7 Colorful - Accent 2"/>
    <w:basedOn w:val="1126"/>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color w:val="d99695" w:themeColor="accent2" w:themeTint="97" w:themeShade="95"/>
        <w:sz w:val="22"/>
      </w:rPr>
      <w:tcPr>
        <w:shd w:val="clear" w:color="f2dcdc" w:fill="f2dcdc" w:themeFill="accent2" w:themeFillTint="32"/>
      </w:tcPr>
    </w:tblStylePr>
    <w:tblStylePr w:type="band1Vert">
      <w:tcPr>
        <w:shd w:val="clear" w:color="f2dcdc" w:fill="f2dcdc" w:themeFill="accent2" w:themeFillTint="32"/>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C0504D" w:themeColor="accent2" w:sz="4" w:space="0"/>
        </w:tcBorders>
      </w:tcPr>
    </w:tblStylePr>
    <w:tblStylePr w:type="firstRow">
      <w:rPr>
        <w:b/>
        <w:color w:val="d99695" w:themeColor="accent2" w:themeTint="97" w:themeShade="95"/>
        <w:sz w:val="22"/>
      </w:rPr>
      <w:tcPr>
        <w:shd w:val="clear" w:color="ffffff" w:fill="ffffff" w:themeFill="light1"/>
        <w:tcBorders>
          <w:top w:val="none" w:color="000000" w:sz="0" w:space="0"/>
          <w:left w:val="none" w:color="000000" w:sz="0" w:space="0"/>
          <w:bottom w:val="single" w:color="C0504D" w:themeColor="accent2" w:sz="4" w:space="0"/>
          <w:right w:val="none" w:color="000000" w:sz="0" w:space="0"/>
        </w:tcBorders>
      </w:tcPr>
    </w:tblStylePr>
    <w:tblStylePr w:type="lastCol">
      <w:rPr>
        <w:i/>
        <w:color w:val="d99695" w:themeColor="accent2" w:themeTint="97" w:themeShade="95"/>
        <w:sz w:val="22"/>
      </w:rPr>
      <w:tcPr>
        <w:shd w:val="clear" w:color="ffffff" w:fill="auto"/>
        <w:tcBorders>
          <w:top w:val="none" w:color="000000" w:sz="0" w:space="0"/>
          <w:left w:val="single" w:color="C0504D" w:themeColor="accent2" w:sz="4" w:space="0"/>
          <w:bottom w:val="none" w:color="000000" w:sz="0" w:space="0"/>
          <w:right w:val="none" w:color="000000" w:sz="0" w:space="0"/>
        </w:tcBorders>
      </w:tcPr>
    </w:tblStylePr>
    <w:tblStylePr w:type="lastRow">
      <w:rPr>
        <w:b/>
        <w:color w:val="d99695" w:themeColor="accent2" w:themeTint="97" w:themeShade="95"/>
        <w:sz w:val="22"/>
      </w:rPr>
      <w:tcPr>
        <w:shd w:val="clear" w:color="ffffff" w:fill="ffffff" w:themeFill="light1"/>
        <w:tcBorders>
          <w:top w:val="single" w:color="C0504D" w:themeColor="accent2" w:sz="4" w:space="0"/>
          <w:left w:val="none" w:color="000000" w:sz="0" w:space="0"/>
          <w:bottom w:val="none" w:color="000000" w:sz="0" w:space="0"/>
          <w:right w:val="none" w:color="000000" w:sz="0" w:space="0"/>
        </w:tcBorders>
      </w:tcPr>
    </w:tblStylePr>
  </w:style>
  <w:style w:type="table" w:styleId="1496" w:customStyle="1">
    <w:name w:val="Grid Table 7 Colorful - Accent 3"/>
    <w:basedOn w:val="1126"/>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color w:val="9abb59" w:themeColor="accent3" w:themeTint="FE" w:themeShade="95"/>
        <w:sz w:val="22"/>
      </w:rPr>
      <w:tcPr>
        <w:shd w:val="clear" w:color="eaf1dc" w:fill="eaf1dc" w:themeFill="accent3" w:themeFillTint="34"/>
      </w:tcPr>
    </w:tblStylePr>
    <w:tblStylePr w:type="band1Vert">
      <w:tcPr>
        <w:shd w:val="clear" w:color="eaf1dc" w:fill="eaf1dc" w:themeFill="accent3" w:themeFillTint="34"/>
      </w:tcPr>
    </w:tblStylePr>
    <w:tblStylePr w:type="band2Horz">
      <w:rPr>
        <w:color w:val="9abb59" w:themeColor="accent3" w:themeTint="FE" w:themeShade="95"/>
        <w:sz w:val="22"/>
      </w:rPr>
    </w:tblStylePr>
    <w:tblStylePr w:type="firstCol">
      <w:rPr>
        <w:i/>
        <w:color w:val="9abb59" w:themeColor="accent3" w:themeTint="FE" w:themeShade="95"/>
        <w:sz w:val="22"/>
      </w:rPr>
      <w:pPr>
        <w:jc w:val="right"/>
      </w:pPr>
      <w:tcPr>
        <w:shd w:val="clear" w:color="ffffff" w:fill="auto"/>
        <w:tcBorders>
          <w:top w:val="none" w:color="000000" w:sz="0" w:space="0"/>
          <w:left w:val="none" w:color="000000" w:sz="0" w:space="0"/>
          <w:bottom w:val="none" w:color="000000" w:sz="0" w:space="0"/>
          <w:right w:val="single" w:color="9BBB59" w:themeColor="accent3" w:sz="4" w:space="0"/>
        </w:tcBorders>
      </w:tcPr>
    </w:tblStylePr>
    <w:tblStylePr w:type="firstRow">
      <w:rPr>
        <w:b/>
        <w:color w:val="9abb59" w:themeColor="accent3" w:themeTint="FE" w:themeShade="95"/>
        <w:sz w:val="22"/>
      </w:rPr>
      <w:tcPr>
        <w:shd w:val="clear" w:color="ffffff" w:fill="ffffff" w:themeFill="light1"/>
        <w:tcBorders>
          <w:top w:val="none" w:color="000000" w:sz="0" w:space="0"/>
          <w:left w:val="none" w:color="000000" w:sz="0" w:space="0"/>
          <w:bottom w:val="single" w:color="9BBB59" w:themeColor="accent3" w:sz="4" w:space="0"/>
          <w:right w:val="none" w:color="000000" w:sz="0" w:space="0"/>
        </w:tcBorders>
      </w:tcPr>
    </w:tblStylePr>
    <w:tblStylePr w:type="lastCol">
      <w:rPr>
        <w:i/>
        <w:color w:val="9abb59" w:themeColor="accent3" w:themeTint="FE" w:themeShade="95"/>
        <w:sz w:val="22"/>
      </w:rPr>
      <w:tcPr>
        <w:shd w:val="clear" w:color="ffffff" w:fill="auto"/>
        <w:tcBorders>
          <w:top w:val="none" w:color="000000" w:sz="0" w:space="0"/>
          <w:left w:val="single" w:color="9BBB59" w:themeColor="accent3" w:sz="4" w:space="0"/>
          <w:bottom w:val="none" w:color="000000" w:sz="0" w:space="0"/>
          <w:right w:val="none" w:color="000000" w:sz="0" w:space="0"/>
        </w:tcBorders>
      </w:tcPr>
    </w:tblStylePr>
    <w:tblStylePr w:type="lastRow">
      <w:rPr>
        <w:b/>
        <w:color w:val="9abb59" w:themeColor="accent3" w:themeTint="FE" w:themeShade="95"/>
        <w:sz w:val="22"/>
      </w:rPr>
      <w:tcPr>
        <w:shd w:val="clear" w:color="ffffff" w:fill="ffffff" w:themeFill="light1"/>
        <w:tcBorders>
          <w:top w:val="single" w:color="9BBB59" w:themeColor="accent3" w:sz="4" w:space="0"/>
          <w:left w:val="none" w:color="000000" w:sz="0" w:space="0"/>
          <w:bottom w:val="none" w:color="000000" w:sz="0" w:space="0"/>
          <w:right w:val="none" w:color="000000" w:sz="0" w:space="0"/>
        </w:tcBorders>
      </w:tcPr>
    </w:tblStylePr>
  </w:style>
  <w:style w:type="table" w:styleId="1497" w:customStyle="1">
    <w:name w:val="Grid Table 7 Colorful - Accent 4"/>
    <w:basedOn w:val="1126"/>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color w:val="b2a1c6" w:themeColor="accent4" w:themeTint="9A" w:themeShade="95"/>
        <w:sz w:val="22"/>
      </w:rPr>
      <w:tcPr>
        <w:shd w:val="clear" w:color="e5dfec" w:fill="e5dfec" w:themeFill="accent4" w:themeFillTint="34"/>
      </w:tcPr>
    </w:tblStylePr>
    <w:tblStylePr w:type="band1Vert">
      <w:tcPr>
        <w:shd w:val="clear" w:color="e5dfec" w:fill="e5dfec" w:themeFill="accent4" w:themeFillTint="34"/>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8064A2" w:themeColor="accent4" w:sz="4" w:space="0"/>
        </w:tcBorders>
      </w:tcPr>
    </w:tblStylePr>
    <w:tblStylePr w:type="firstRow">
      <w:rPr>
        <w:b/>
        <w:color w:val="b2a1c6" w:themeColor="accent4" w:themeTint="9A" w:themeShade="95"/>
        <w:sz w:val="22"/>
      </w:rPr>
      <w:tcPr>
        <w:shd w:val="clear" w:color="ffffff" w:fill="ffffff" w:themeFill="light1"/>
        <w:tcBorders>
          <w:top w:val="none" w:color="000000" w:sz="0" w:space="0"/>
          <w:left w:val="none" w:color="000000" w:sz="0" w:space="0"/>
          <w:bottom w:val="single" w:color="8064A2" w:themeColor="accent4" w:sz="4" w:space="0"/>
          <w:right w:val="none" w:color="000000" w:sz="0" w:space="0"/>
        </w:tcBorders>
      </w:tcPr>
    </w:tblStylePr>
    <w:tblStylePr w:type="lastCol">
      <w:rPr>
        <w:i/>
        <w:color w:val="b2a1c6" w:themeColor="accent4" w:themeTint="9A" w:themeShade="95"/>
        <w:sz w:val="22"/>
      </w:rPr>
      <w:tcPr>
        <w:shd w:val="clear" w:color="ffffff" w:fill="auto"/>
        <w:tcBorders>
          <w:top w:val="none" w:color="000000" w:sz="0" w:space="0"/>
          <w:left w:val="single" w:color="8064A2" w:themeColor="accent4" w:sz="4" w:space="0"/>
          <w:bottom w:val="none" w:color="000000" w:sz="0" w:space="0"/>
          <w:right w:val="none" w:color="000000" w:sz="0" w:space="0"/>
        </w:tcBorders>
      </w:tcPr>
    </w:tblStylePr>
    <w:tblStylePr w:type="lastRow">
      <w:rPr>
        <w:b/>
        <w:color w:val="b2a1c6" w:themeColor="accent4" w:themeTint="9A" w:themeShade="95"/>
        <w:sz w:val="22"/>
      </w:rPr>
      <w:tcPr>
        <w:shd w:val="clear" w:color="ffffff" w:fill="ffffff" w:themeFill="light1"/>
        <w:tcBorders>
          <w:top w:val="single" w:color="8064A2" w:themeColor="accent4" w:sz="4" w:space="0"/>
          <w:left w:val="none" w:color="000000" w:sz="0" w:space="0"/>
          <w:bottom w:val="none" w:color="000000" w:sz="0" w:space="0"/>
          <w:right w:val="none" w:color="000000" w:sz="0" w:space="0"/>
        </w:tcBorders>
      </w:tcPr>
    </w:tblStylePr>
  </w:style>
  <w:style w:type="table" w:styleId="1498" w:customStyle="1">
    <w:name w:val="Grid Table 7 Colorful - Accent 5"/>
    <w:basedOn w:val="1126"/>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color w:val="266779" w:themeColor="accent5" w:themeShade="95"/>
        <w:sz w:val="22"/>
      </w:rPr>
      <w:tcPr>
        <w:shd w:val="clear" w:color="daeef3" w:fill="daeef3" w:themeFill="accent5" w:themeFillTint="34"/>
      </w:tcPr>
    </w:tblStylePr>
    <w:tblStylePr w:type="band1Vert">
      <w:tcPr>
        <w:shd w:val="clear" w:color="daeef3" w:fill="daeef3" w:themeFill="accent5" w:themeFillTint="34"/>
      </w:tcPr>
    </w:tblStylePr>
    <w:tblStylePr w:type="band2Horz">
      <w:rPr>
        <w:color w:val="266779" w:themeColor="accent5" w:themeShade="95"/>
        <w:sz w:val="22"/>
      </w:rPr>
    </w:tblStylePr>
    <w:tblStylePr w:type="firstCol">
      <w:rPr>
        <w:i/>
        <w:color w:val="266779" w:themeColor="accent5" w:themeShade="95"/>
        <w:sz w:val="22"/>
      </w:rPr>
      <w:pPr>
        <w:jc w:val="right"/>
      </w:pPr>
      <w:tcPr>
        <w:shd w:val="clear" w:color="ffffff" w:fill="auto"/>
        <w:tcBorders>
          <w:top w:val="none" w:color="000000" w:sz="0" w:space="0"/>
          <w:left w:val="none" w:color="000000" w:sz="0" w:space="0"/>
          <w:bottom w:val="none" w:color="000000" w:sz="0" w:space="0"/>
          <w:right w:val="single" w:color="4BACC6" w:themeColor="accent5" w:sz="4" w:space="0"/>
        </w:tcBorders>
      </w:tcPr>
    </w:tblStylePr>
    <w:tblStylePr w:type="firstRow">
      <w:rPr>
        <w:b/>
        <w:color w:val="266779" w:themeColor="accent5" w:themeShade="95"/>
        <w:sz w:val="22"/>
      </w:rPr>
      <w:tcPr>
        <w:shd w:val="clear" w:color="ffffff" w:fill="ffffff" w:themeFill="light1"/>
        <w:tcBorders>
          <w:top w:val="none" w:color="000000" w:sz="0" w:space="0"/>
          <w:left w:val="none" w:color="000000" w:sz="0" w:space="0"/>
          <w:bottom w:val="single" w:color="4BACC6" w:themeColor="accent5" w:sz="4" w:space="0"/>
          <w:right w:val="none" w:color="000000" w:sz="0" w:space="0"/>
        </w:tcBorders>
      </w:tcPr>
    </w:tblStylePr>
    <w:tblStylePr w:type="lastCol">
      <w:rPr>
        <w:i/>
        <w:color w:val="266779" w:themeColor="accent5" w:themeShade="95"/>
        <w:sz w:val="22"/>
      </w:rPr>
      <w:tcPr>
        <w:shd w:val="clear" w:color="ffffff" w:fill="auto"/>
        <w:tcBorders>
          <w:top w:val="none" w:color="000000" w:sz="0" w:space="0"/>
          <w:left w:val="single" w:color="4BACC6" w:themeColor="accent5" w:sz="4" w:space="0"/>
          <w:bottom w:val="none" w:color="000000" w:sz="0" w:space="0"/>
          <w:right w:val="none" w:color="000000" w:sz="0" w:space="0"/>
        </w:tcBorders>
      </w:tcPr>
    </w:tblStylePr>
    <w:tblStylePr w:type="lastRow">
      <w:rPr>
        <w:b/>
        <w:color w:val="266779" w:themeColor="accent5" w:themeShade="95"/>
        <w:sz w:val="22"/>
      </w:rPr>
      <w:tcPr>
        <w:shd w:val="clear" w:color="ffffff" w:fill="ffffff" w:themeFill="light1"/>
        <w:tcBorders>
          <w:top w:val="single" w:color="4BACC6" w:themeColor="accent5" w:sz="4" w:space="0"/>
          <w:left w:val="none" w:color="000000" w:sz="0" w:space="0"/>
          <w:bottom w:val="none" w:color="000000" w:sz="0" w:space="0"/>
          <w:right w:val="none" w:color="000000" w:sz="0" w:space="0"/>
        </w:tcBorders>
      </w:tcPr>
    </w:tblStylePr>
  </w:style>
  <w:style w:type="table" w:styleId="1499" w:customStyle="1">
    <w:name w:val="Grid Table 7 Colorful - Accent 6"/>
    <w:basedOn w:val="1126"/>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color w:val="b15407" w:themeColor="accent6" w:themeShade="95"/>
        <w:sz w:val="22"/>
      </w:rPr>
      <w:tcPr>
        <w:shd w:val="clear" w:color="fde9d8" w:fill="fde9d8" w:themeFill="accent6" w:themeFillTint="34"/>
      </w:tcPr>
    </w:tblStylePr>
    <w:tblStylePr w:type="band1Vert">
      <w:tcPr>
        <w:shd w:val="clear" w:color="fde9d8" w:fill="fde9d8" w:themeFill="accent6" w:themeFillTint="34"/>
      </w:tcPr>
    </w:tblStylePr>
    <w:tblStylePr w:type="band2Horz">
      <w:rPr>
        <w:color w:val="b15407" w:themeColor="accent6" w:themeShade="95"/>
        <w:sz w:val="22"/>
      </w:rPr>
    </w:tblStylePr>
    <w:tblStylePr w:type="firstCol">
      <w:rPr>
        <w:i/>
        <w:color w:val="b15407" w:themeColor="accent6" w:themeShade="95"/>
        <w:sz w:val="22"/>
      </w:rPr>
      <w:pPr>
        <w:jc w:val="right"/>
      </w:pPr>
      <w:tcPr>
        <w:shd w:val="clear" w:color="ffffff" w:fill="auto"/>
        <w:tcBorders>
          <w:top w:val="none" w:color="000000" w:sz="0" w:space="0"/>
          <w:left w:val="none" w:color="000000" w:sz="0" w:space="0"/>
          <w:bottom w:val="none" w:color="000000" w:sz="0" w:space="0"/>
          <w:right w:val="single" w:color="F79646" w:themeColor="accent6" w:sz="4" w:space="0"/>
        </w:tcBorders>
      </w:tcPr>
    </w:tblStylePr>
    <w:tblStylePr w:type="firstRow">
      <w:rPr>
        <w:b/>
        <w:color w:val="b15407" w:themeColor="accent6" w:themeShade="95"/>
        <w:sz w:val="22"/>
      </w:rPr>
      <w:tcPr>
        <w:shd w:val="clear" w:color="ffffff" w:fill="ffffff" w:themeFill="light1"/>
        <w:tcBorders>
          <w:top w:val="none" w:color="000000" w:sz="0" w:space="0"/>
          <w:left w:val="none" w:color="000000" w:sz="0" w:space="0"/>
          <w:bottom w:val="single" w:color="F79646" w:themeColor="accent6" w:sz="4" w:space="0"/>
          <w:right w:val="none" w:color="000000" w:sz="0" w:space="0"/>
        </w:tcBorders>
      </w:tcPr>
    </w:tblStylePr>
    <w:tblStylePr w:type="lastCol">
      <w:rPr>
        <w:i/>
        <w:color w:val="b15407" w:themeColor="accent6" w:themeShade="95"/>
        <w:sz w:val="22"/>
      </w:rPr>
      <w:tcPr>
        <w:shd w:val="clear" w:color="ffffff" w:fill="auto"/>
        <w:tcBorders>
          <w:top w:val="none" w:color="000000" w:sz="0" w:space="0"/>
          <w:left w:val="single" w:color="F79646" w:themeColor="accent6" w:sz="4" w:space="0"/>
          <w:bottom w:val="none" w:color="000000" w:sz="0" w:space="0"/>
          <w:right w:val="none" w:color="000000" w:sz="0" w:space="0"/>
        </w:tcBorders>
      </w:tcPr>
    </w:tblStylePr>
    <w:tblStylePr w:type="lastRow">
      <w:rPr>
        <w:b/>
        <w:color w:val="b15407" w:themeColor="accent6" w:themeShade="95"/>
        <w:sz w:val="22"/>
      </w:rPr>
      <w:tcPr>
        <w:shd w:val="clear" w:color="ffffff" w:fill="ffffff" w:themeFill="light1"/>
        <w:tcBorders>
          <w:top w:val="single" w:color="F79646" w:themeColor="accent6" w:sz="4" w:space="0"/>
          <w:left w:val="none" w:color="000000" w:sz="0" w:space="0"/>
          <w:bottom w:val="none" w:color="000000" w:sz="0" w:space="0"/>
          <w:right w:val="none" w:color="000000" w:sz="0" w:space="0"/>
        </w:tcBorders>
      </w:tcPr>
    </w:tblStylePr>
  </w:style>
  <w:style w:type="table" w:styleId="1500" w:customStyle="1">
    <w:name w:val="Список-таблица 1 светлая1"/>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bfbfbf" w:fill="bfbfbf" w:themeFill="text1" w:themeFillTint="40"/>
      </w:tcPr>
    </w:tblStylePr>
    <w:tblStylePr w:type="band1Vert">
      <w:tcPr>
        <w:shd w:val="clear" w:color="bfbfbf" w:fill="bfbfbf" w:themeFill="text1" w:themeFillTint="40"/>
      </w:tcPr>
    </w:tblStylePr>
    <w:tblStylePr w:type="firstCol">
      <w:rPr>
        <w:b/>
      </w:rPr>
    </w:tblStylePr>
    <w:tblStylePr w:type="firstRow">
      <w:rPr>
        <w:b/>
      </w:rPr>
      <w:tcPr>
        <w:tcBorders>
          <w:top w:val="none" w:color="000000" w:sz="4" w:space="0"/>
          <w:left w:val="none" w:color="000000" w:sz="4" w:space="0"/>
          <w:bottom w:val="single" w:color="000000" w:themeColor="text1" w:sz="4" w:space="0"/>
          <w:right w:val="none" w:color="000000" w:sz="4" w:space="0"/>
        </w:tcBorders>
      </w:tcPr>
    </w:tblStylePr>
    <w:tblStylePr w:type="lastCol">
      <w:rPr>
        <w:b/>
      </w:rPr>
    </w:tblStylePr>
    <w:tblStylePr w:type="lastRow">
      <w:rPr>
        <w:b/>
      </w:rPr>
      <w:tcPr>
        <w:tcBorders>
          <w:top w:val="single" w:color="000000" w:themeColor="text1" w:sz="4" w:space="0"/>
          <w:left w:val="none" w:color="000000" w:sz="4" w:space="0"/>
          <w:bottom w:val="none" w:color="000000" w:sz="4" w:space="0"/>
          <w:right w:val="none" w:color="000000" w:sz="4" w:space="0"/>
        </w:tcBorders>
      </w:tcPr>
    </w:tblStylePr>
  </w:style>
  <w:style w:type="table" w:styleId="1501" w:customStyle="1">
    <w:name w:val="List Table 1 Light - Accent 1"/>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d2dfee" w:fill="d2dfee" w:themeFill="accent1" w:themeFillTint="40"/>
      </w:tcPr>
    </w:tblStylePr>
    <w:tblStylePr w:type="band1Vert">
      <w:tcPr>
        <w:shd w:val="clear" w:color="d2dfee" w:fill="d2dfee" w:themeFill="accent1" w:themeFillTint="40"/>
      </w:tcPr>
    </w:tblStylePr>
    <w:tblStylePr w:type="firstCol">
      <w:rPr>
        <w:b/>
      </w:rPr>
    </w:tblStylePr>
    <w:tblStylePr w:type="firstRow">
      <w:rPr>
        <w:b/>
      </w:rPr>
      <w:tcPr>
        <w:tcBorders>
          <w:top w:val="none" w:color="000000" w:sz="4" w:space="0"/>
          <w:left w:val="none" w:color="000000" w:sz="4" w:space="0"/>
          <w:bottom w:val="single" w:color="4F81BD" w:themeColor="accent1" w:sz="4" w:space="0"/>
          <w:right w:val="none" w:color="000000" w:sz="4" w:space="0"/>
        </w:tcBorders>
      </w:tcPr>
    </w:tblStylePr>
    <w:tblStylePr w:type="lastCol">
      <w:rPr>
        <w:b/>
      </w:rPr>
    </w:tblStylePr>
    <w:tblStylePr w:type="lastRow">
      <w:rPr>
        <w:b/>
      </w:rPr>
      <w:tcPr>
        <w:tcBorders>
          <w:top w:val="single" w:color="4F81BD" w:themeColor="accent1" w:sz="4" w:space="0"/>
          <w:left w:val="none" w:color="000000" w:sz="4" w:space="0"/>
          <w:bottom w:val="none" w:color="000000" w:sz="4" w:space="0"/>
          <w:right w:val="none" w:color="000000" w:sz="4" w:space="0"/>
        </w:tcBorders>
      </w:tcPr>
    </w:tblStylePr>
  </w:style>
  <w:style w:type="table" w:styleId="1502" w:customStyle="1">
    <w:name w:val="List Table 1 Light - Accent 2"/>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efd2d2" w:fill="efd2d2" w:themeFill="accent2" w:themeFillTint="40"/>
      </w:tcPr>
    </w:tblStylePr>
    <w:tblStylePr w:type="band1Vert">
      <w:tcPr>
        <w:shd w:val="clear" w:color="efd2d2" w:fill="efd2d2" w:themeFill="accent2" w:themeFillTint="40"/>
      </w:tcPr>
    </w:tblStylePr>
    <w:tblStylePr w:type="firstCol">
      <w:rPr>
        <w:b/>
      </w:rPr>
    </w:tblStylePr>
    <w:tblStylePr w:type="firstRow">
      <w:rPr>
        <w:b/>
      </w:rPr>
      <w:tcPr>
        <w:tcBorders>
          <w:top w:val="none" w:color="000000" w:sz="4" w:space="0"/>
          <w:left w:val="none" w:color="000000" w:sz="4" w:space="0"/>
          <w:bottom w:val="single" w:color="C0504D" w:themeColor="accent2" w:sz="4" w:space="0"/>
          <w:right w:val="none" w:color="000000" w:sz="4" w:space="0"/>
        </w:tcBorders>
      </w:tcPr>
    </w:tblStylePr>
    <w:tblStylePr w:type="lastCol">
      <w:rPr>
        <w:b/>
      </w:rPr>
    </w:tblStylePr>
    <w:tblStylePr w:type="lastRow">
      <w:rPr>
        <w:b/>
      </w:rPr>
      <w:tcPr>
        <w:tcBorders>
          <w:top w:val="single" w:color="C0504D" w:themeColor="accent2" w:sz="4" w:space="0"/>
          <w:left w:val="none" w:color="000000" w:sz="4" w:space="0"/>
          <w:bottom w:val="none" w:color="000000" w:sz="4" w:space="0"/>
          <w:right w:val="none" w:color="000000" w:sz="4" w:space="0"/>
        </w:tcBorders>
      </w:tcPr>
    </w:tblStylePr>
  </w:style>
  <w:style w:type="table" w:styleId="1503" w:customStyle="1">
    <w:name w:val="List Table 1 Light - Accent 3"/>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e5eed5" w:fill="e5eed5" w:themeFill="accent3" w:themeFillTint="40"/>
      </w:tcPr>
    </w:tblStylePr>
    <w:tblStylePr w:type="band1Vert">
      <w:tcPr>
        <w:shd w:val="clear" w:color="e5eed5" w:fill="e5eed5" w:themeFill="accent3" w:themeFillTint="40"/>
      </w:tcPr>
    </w:tblStylePr>
    <w:tblStylePr w:type="firstCol">
      <w:rPr>
        <w:b/>
      </w:rPr>
    </w:tblStylePr>
    <w:tblStylePr w:type="firstRow">
      <w:rPr>
        <w:b/>
      </w:rPr>
      <w:tcPr>
        <w:tcBorders>
          <w:top w:val="none" w:color="000000" w:sz="4" w:space="0"/>
          <w:left w:val="none" w:color="000000" w:sz="4" w:space="0"/>
          <w:bottom w:val="single" w:color="9BBB59" w:themeColor="accent3" w:sz="4" w:space="0"/>
          <w:right w:val="none" w:color="000000" w:sz="4" w:space="0"/>
        </w:tcBorders>
      </w:tcPr>
    </w:tblStylePr>
    <w:tblStylePr w:type="lastCol">
      <w:rPr>
        <w:b/>
      </w:rPr>
    </w:tblStylePr>
    <w:tblStylePr w:type="lastRow">
      <w:rPr>
        <w:b/>
      </w:rPr>
      <w:tcPr>
        <w:tcBorders>
          <w:top w:val="single" w:color="9BBB59" w:themeColor="accent3" w:sz="4" w:space="0"/>
          <w:left w:val="none" w:color="000000" w:sz="4" w:space="0"/>
          <w:bottom w:val="none" w:color="000000" w:sz="4" w:space="0"/>
          <w:right w:val="none" w:color="000000" w:sz="4" w:space="0"/>
        </w:tcBorders>
      </w:tcPr>
    </w:tblStylePr>
  </w:style>
  <w:style w:type="table" w:styleId="1504" w:customStyle="1">
    <w:name w:val="List Table 1 Light - Accent 4"/>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dfd8e7" w:fill="dfd8e7" w:themeFill="accent4" w:themeFillTint="40"/>
      </w:tcPr>
    </w:tblStylePr>
    <w:tblStylePr w:type="band1Vert">
      <w:tcPr>
        <w:shd w:val="clear" w:color="dfd8e7" w:fill="dfd8e7" w:themeFill="accent4" w:themeFillTint="40"/>
      </w:tcPr>
    </w:tblStylePr>
    <w:tblStylePr w:type="firstCol">
      <w:rPr>
        <w:b/>
      </w:rPr>
    </w:tblStylePr>
    <w:tblStylePr w:type="firstRow">
      <w:rPr>
        <w:b/>
      </w:rPr>
      <w:tcPr>
        <w:tcBorders>
          <w:top w:val="none" w:color="000000" w:sz="4" w:space="0"/>
          <w:left w:val="none" w:color="000000" w:sz="4" w:space="0"/>
          <w:bottom w:val="single" w:color="8064A2" w:themeColor="accent4" w:sz="4" w:space="0"/>
          <w:right w:val="none" w:color="000000" w:sz="4" w:space="0"/>
        </w:tcBorders>
      </w:tcPr>
    </w:tblStylePr>
    <w:tblStylePr w:type="lastCol">
      <w:rPr>
        <w:b/>
      </w:rPr>
    </w:tblStylePr>
    <w:tblStylePr w:type="lastRow">
      <w:rPr>
        <w:b/>
      </w:rPr>
      <w:tcPr>
        <w:tcBorders>
          <w:top w:val="single" w:color="8064A2" w:themeColor="accent4" w:sz="4" w:space="0"/>
          <w:left w:val="none" w:color="000000" w:sz="4" w:space="0"/>
          <w:bottom w:val="none" w:color="000000" w:sz="4" w:space="0"/>
          <w:right w:val="none" w:color="000000" w:sz="4" w:space="0"/>
        </w:tcBorders>
      </w:tcPr>
    </w:tblStylePr>
  </w:style>
  <w:style w:type="table" w:styleId="1505" w:customStyle="1">
    <w:name w:val="List Table 1 Light - Accent 5"/>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d1eaf0" w:fill="d1eaf0" w:themeFill="accent5" w:themeFillTint="40"/>
      </w:tcPr>
    </w:tblStylePr>
    <w:tblStylePr w:type="band1Vert">
      <w:tcPr>
        <w:shd w:val="clear" w:color="d1eaf0" w:fill="d1eaf0" w:themeFill="accent5" w:themeFillTint="40"/>
      </w:tcPr>
    </w:tblStylePr>
    <w:tblStylePr w:type="firstCol">
      <w:rPr>
        <w:b/>
      </w:rPr>
    </w:tblStylePr>
    <w:tblStylePr w:type="firstRow">
      <w:rPr>
        <w:b/>
      </w:rPr>
      <w:tcPr>
        <w:tcBorders>
          <w:top w:val="none" w:color="000000" w:sz="4" w:space="0"/>
          <w:left w:val="none" w:color="000000" w:sz="4" w:space="0"/>
          <w:bottom w:val="single" w:color="4BACC6" w:themeColor="accent5" w:sz="4" w:space="0"/>
          <w:right w:val="none" w:color="000000" w:sz="4" w:space="0"/>
        </w:tcBorders>
      </w:tcPr>
    </w:tblStylePr>
    <w:tblStylePr w:type="lastCol">
      <w:rPr>
        <w:b/>
      </w:rPr>
    </w:tblStylePr>
    <w:tblStylePr w:type="lastRow">
      <w:rPr>
        <w:b/>
      </w:rPr>
      <w:tcPr>
        <w:tcBorders>
          <w:top w:val="single" w:color="4BACC6" w:themeColor="accent5" w:sz="4" w:space="0"/>
          <w:left w:val="none" w:color="000000" w:sz="4" w:space="0"/>
          <w:bottom w:val="none" w:color="000000" w:sz="4" w:space="0"/>
          <w:right w:val="none" w:color="000000" w:sz="4" w:space="0"/>
        </w:tcBorders>
      </w:tcPr>
    </w:tblStylePr>
  </w:style>
  <w:style w:type="table" w:styleId="1506" w:customStyle="1">
    <w:name w:val="List Table 1 Light - Accent 6"/>
    <w:basedOn w:val="1126"/>
    <w:uiPriority w:val="99"/>
    <w:tblPr>
      <w:tblStyleRowBandSize w:val="1"/>
      <w:tblStyleColBandSize w:val="1"/>
      <w:tblInd w:w="0" w:type="dxa"/>
      <w:tblCellMar>
        <w:left w:w="108" w:type="dxa"/>
        <w:top w:w="0" w:type="dxa"/>
        <w:right w:w="108" w:type="dxa"/>
        <w:bottom w:w="0" w:type="dxa"/>
      </w:tblCellMar>
    </w:tblPr>
    <w:tblStylePr w:type="band1Horz">
      <w:tcPr>
        <w:shd w:val="clear" w:color="fde4d0" w:fill="fde4d0" w:themeFill="accent6" w:themeFillTint="40"/>
      </w:tcPr>
    </w:tblStylePr>
    <w:tblStylePr w:type="band1Vert">
      <w:tcPr>
        <w:shd w:val="clear" w:color="fde4d0" w:fill="fde4d0" w:themeFill="accent6" w:themeFillTint="40"/>
      </w:tcPr>
    </w:tblStylePr>
    <w:tblStylePr w:type="firstCol">
      <w:rPr>
        <w:b/>
      </w:rPr>
    </w:tblStylePr>
    <w:tblStylePr w:type="firstRow">
      <w:rPr>
        <w:b/>
      </w:rPr>
      <w:tcPr>
        <w:tcBorders>
          <w:top w:val="none" w:color="000000" w:sz="4" w:space="0"/>
          <w:left w:val="none" w:color="000000" w:sz="4" w:space="0"/>
          <w:bottom w:val="single" w:color="F79646" w:themeColor="accent6" w:sz="4" w:space="0"/>
          <w:right w:val="none" w:color="000000" w:sz="4" w:space="0"/>
        </w:tcBorders>
      </w:tcPr>
    </w:tblStylePr>
    <w:tblStylePr w:type="lastCol">
      <w:rPr>
        <w:b/>
      </w:rPr>
    </w:tblStylePr>
    <w:tblStylePr w:type="lastRow">
      <w:rPr>
        <w:b/>
      </w:rPr>
      <w:tcPr>
        <w:tcBorders>
          <w:top w:val="single" w:color="F79646" w:themeColor="accent6" w:sz="4" w:space="0"/>
          <w:left w:val="none" w:color="000000" w:sz="4" w:space="0"/>
          <w:bottom w:val="none" w:color="000000" w:sz="4" w:space="0"/>
          <w:right w:val="none" w:color="000000" w:sz="4" w:space="0"/>
        </w:tcBorders>
      </w:tcPr>
    </w:tblStylePr>
  </w:style>
  <w:style w:type="table" w:styleId="1507" w:customStyle="1">
    <w:name w:val="Список-таблица 21"/>
    <w:basedOn w:val="1126"/>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sz w:val="22"/>
      </w:rPr>
    </w:tblStylePr>
    <w:tblStylePr w:type="fir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StylePr>
    <w:tblStylePr w:type="lastRow">
      <w:rPr>
        <w:b/>
        <w:sz w:val="22"/>
      </w:r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508" w:customStyle="1">
    <w:name w:val="List Table 2 - Accent 1"/>
    <w:basedOn w:val="1126"/>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sz w:val="22"/>
      </w:rPr>
      <w:tcPr>
        <w:shd w:val="clear" w:color="d2dfee" w:fill="d2dfee" w:themeFill="accent1" w:themeFillTint="40"/>
      </w:tcPr>
    </w:tblStylePr>
    <w:tblStylePr w:type="band1Vert">
      <w:rPr>
        <w:sz w:val="22"/>
      </w:rPr>
      <w:tcPr>
        <w:shd w:val="clear" w:color="d2dfee" w:fill="d2dfee" w:themeFill="accent1" w:themeFillTint="40"/>
      </w:tcPr>
    </w:tblStylePr>
    <w:tblStylePr w:type="firstCol">
      <w:rPr>
        <w:b/>
        <w:sz w:val="22"/>
      </w:rPr>
    </w:tblStylePr>
    <w:tblStylePr w:type="firstRow">
      <w:rPr>
        <w:b/>
        <w:sz w:val="22"/>
      </w:rPr>
      <w:tcPr>
        <w:tcBorders>
          <w:top w:val="single" w:color="4F81BD" w:themeColor="accent1" w:sz="4" w:space="0"/>
          <w:left w:val="none" w:color="000000" w:sz="4" w:space="0"/>
          <w:bottom w:val="single" w:color="4F81BD" w:themeColor="accent1" w:sz="4" w:space="0"/>
          <w:right w:val="none" w:color="000000" w:sz="4" w:space="0"/>
        </w:tcBorders>
      </w:tcPr>
    </w:tblStylePr>
    <w:tblStylePr w:type="lastCol">
      <w:rPr>
        <w:b/>
        <w:sz w:val="22"/>
      </w:rPr>
    </w:tblStylePr>
    <w:tblStylePr w:type="lastRow">
      <w:rPr>
        <w:b/>
        <w:sz w:val="22"/>
      </w:rPr>
      <w:tcPr>
        <w:tcBorders>
          <w:top w:val="single" w:color="4F81BD" w:themeColor="accent1" w:sz="4" w:space="0"/>
          <w:left w:val="none" w:color="000000" w:sz="4" w:space="0"/>
          <w:bottom w:val="single" w:color="4F81BD" w:themeColor="accent1" w:sz="4" w:space="0"/>
          <w:right w:val="none" w:color="000000" w:sz="4" w:space="0"/>
        </w:tcBorders>
      </w:tcPr>
    </w:tblStylePr>
  </w:style>
  <w:style w:type="table" w:styleId="1509" w:customStyle="1">
    <w:name w:val="List Table 2 - Accent 2"/>
    <w:basedOn w:val="1126"/>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sz w:val="22"/>
      </w:rPr>
      <w:tcPr>
        <w:shd w:val="clear" w:color="efd2d2" w:fill="efd2d2" w:themeFill="accent2" w:themeFillTint="40"/>
      </w:tcPr>
    </w:tblStylePr>
    <w:tblStylePr w:type="band1Vert">
      <w:rPr>
        <w:sz w:val="22"/>
      </w:rPr>
      <w:tcPr>
        <w:shd w:val="clear" w:color="efd2d2" w:fill="efd2d2" w:themeFill="accent2" w:themeFillTint="40"/>
      </w:tcPr>
    </w:tblStylePr>
    <w:tblStylePr w:type="firstCol">
      <w:rPr>
        <w:b/>
        <w:sz w:val="22"/>
      </w:rPr>
    </w:tblStylePr>
    <w:tblStylePr w:type="firstRow">
      <w:rPr>
        <w:b/>
        <w:sz w:val="22"/>
      </w:rPr>
      <w:tcPr>
        <w:tcBorders>
          <w:top w:val="single" w:color="C0504D" w:themeColor="accent2" w:sz="4" w:space="0"/>
          <w:left w:val="none" w:color="000000" w:sz="4" w:space="0"/>
          <w:bottom w:val="single" w:color="C0504D" w:themeColor="accent2" w:sz="4" w:space="0"/>
          <w:right w:val="none" w:color="000000" w:sz="4" w:space="0"/>
        </w:tcBorders>
      </w:tcPr>
    </w:tblStylePr>
    <w:tblStylePr w:type="lastCol">
      <w:rPr>
        <w:b/>
        <w:sz w:val="22"/>
      </w:rPr>
    </w:tblStylePr>
    <w:tblStylePr w:type="lastRow">
      <w:rPr>
        <w:b/>
        <w:sz w:val="22"/>
      </w:rPr>
      <w:tcPr>
        <w:tcBorders>
          <w:top w:val="single" w:color="C0504D" w:themeColor="accent2" w:sz="4" w:space="0"/>
          <w:left w:val="none" w:color="000000" w:sz="4" w:space="0"/>
          <w:bottom w:val="single" w:color="C0504D" w:themeColor="accent2" w:sz="4" w:space="0"/>
          <w:right w:val="none" w:color="000000" w:sz="4" w:space="0"/>
        </w:tcBorders>
      </w:tcPr>
    </w:tblStylePr>
  </w:style>
  <w:style w:type="table" w:styleId="1510" w:customStyle="1">
    <w:name w:val="List Table 2 - Accent 3"/>
    <w:basedOn w:val="1126"/>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sz w:val="22"/>
      </w:rPr>
      <w:tcPr>
        <w:shd w:val="clear" w:color="e5eed5" w:fill="e5eed5" w:themeFill="accent3" w:themeFillTint="40"/>
      </w:tcPr>
    </w:tblStylePr>
    <w:tblStylePr w:type="band1Vert">
      <w:rPr>
        <w:sz w:val="22"/>
      </w:rPr>
      <w:tcPr>
        <w:shd w:val="clear" w:color="e5eed5" w:fill="e5eed5" w:themeFill="accent3" w:themeFillTint="40"/>
      </w:tcPr>
    </w:tblStylePr>
    <w:tblStylePr w:type="firstCol">
      <w:rPr>
        <w:b/>
        <w:sz w:val="22"/>
      </w:rPr>
    </w:tblStylePr>
    <w:tblStylePr w:type="firstRow">
      <w:rPr>
        <w:b/>
        <w:sz w:val="22"/>
      </w:rPr>
      <w:tcPr>
        <w:tcBorders>
          <w:top w:val="single" w:color="9BBB59" w:themeColor="accent3" w:sz="4" w:space="0"/>
          <w:left w:val="none" w:color="000000" w:sz="4" w:space="0"/>
          <w:bottom w:val="single" w:color="9BBB59" w:themeColor="accent3" w:sz="4" w:space="0"/>
          <w:right w:val="none" w:color="000000" w:sz="4" w:space="0"/>
        </w:tcBorders>
      </w:tcPr>
    </w:tblStylePr>
    <w:tblStylePr w:type="lastCol">
      <w:rPr>
        <w:b/>
        <w:sz w:val="22"/>
      </w:rPr>
    </w:tblStylePr>
    <w:tblStylePr w:type="lastRow">
      <w:rPr>
        <w:b/>
        <w:sz w:val="22"/>
      </w:rPr>
      <w:tcPr>
        <w:tcBorders>
          <w:top w:val="single" w:color="9BBB59" w:themeColor="accent3" w:sz="4" w:space="0"/>
          <w:left w:val="none" w:color="000000" w:sz="4" w:space="0"/>
          <w:bottom w:val="single" w:color="9BBB59" w:themeColor="accent3" w:sz="4" w:space="0"/>
          <w:right w:val="none" w:color="000000" w:sz="4" w:space="0"/>
        </w:tcBorders>
      </w:tcPr>
    </w:tblStylePr>
  </w:style>
  <w:style w:type="table" w:styleId="1511" w:customStyle="1">
    <w:name w:val="List Table 2 - Accent 4"/>
    <w:basedOn w:val="1126"/>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sz w:val="22"/>
      </w:rPr>
      <w:tcPr>
        <w:shd w:val="clear" w:color="dfd8e7" w:fill="dfd8e7" w:themeFill="accent4" w:themeFillTint="40"/>
      </w:tcPr>
    </w:tblStylePr>
    <w:tblStylePr w:type="band1Vert">
      <w:rPr>
        <w:sz w:val="22"/>
      </w:rPr>
      <w:tcPr>
        <w:shd w:val="clear" w:color="dfd8e7" w:fill="dfd8e7" w:themeFill="accent4" w:themeFillTint="40"/>
      </w:tcPr>
    </w:tblStylePr>
    <w:tblStylePr w:type="firstCol">
      <w:rPr>
        <w:b/>
        <w:sz w:val="22"/>
      </w:rPr>
    </w:tblStylePr>
    <w:tblStylePr w:type="firstRow">
      <w:rPr>
        <w:b/>
        <w:sz w:val="22"/>
      </w:rPr>
      <w:tcPr>
        <w:tcBorders>
          <w:top w:val="single" w:color="8064A2" w:themeColor="accent4" w:sz="4" w:space="0"/>
          <w:left w:val="none" w:color="000000" w:sz="4" w:space="0"/>
          <w:bottom w:val="single" w:color="8064A2" w:themeColor="accent4" w:sz="4" w:space="0"/>
          <w:right w:val="none" w:color="000000" w:sz="4" w:space="0"/>
        </w:tcBorders>
      </w:tcPr>
    </w:tblStylePr>
    <w:tblStylePr w:type="lastCol">
      <w:rPr>
        <w:b/>
        <w:sz w:val="22"/>
      </w:rPr>
    </w:tblStylePr>
    <w:tblStylePr w:type="lastRow">
      <w:rPr>
        <w:b/>
        <w:sz w:val="22"/>
      </w:rPr>
      <w:tcPr>
        <w:tcBorders>
          <w:top w:val="single" w:color="8064A2" w:themeColor="accent4" w:sz="4" w:space="0"/>
          <w:left w:val="none" w:color="000000" w:sz="4" w:space="0"/>
          <w:bottom w:val="single" w:color="8064A2" w:themeColor="accent4" w:sz="4" w:space="0"/>
          <w:right w:val="none" w:color="000000" w:sz="4" w:space="0"/>
        </w:tcBorders>
      </w:tcPr>
    </w:tblStylePr>
  </w:style>
  <w:style w:type="table" w:styleId="1512" w:customStyle="1">
    <w:name w:val="List Table 2 - Accent 5"/>
    <w:basedOn w:val="1126"/>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sz w:val="22"/>
      </w:rPr>
      <w:tcPr>
        <w:shd w:val="clear" w:color="d1eaf0" w:fill="d1eaf0" w:themeFill="accent5" w:themeFillTint="40"/>
      </w:tcPr>
    </w:tblStylePr>
    <w:tblStylePr w:type="band1Vert">
      <w:rPr>
        <w:sz w:val="22"/>
      </w:rPr>
      <w:tcPr>
        <w:shd w:val="clear" w:color="d1eaf0" w:fill="d1eaf0" w:themeFill="accent5" w:themeFillTint="40"/>
      </w:tcPr>
    </w:tblStylePr>
    <w:tblStylePr w:type="firstCol">
      <w:rPr>
        <w:b/>
        <w:sz w:val="22"/>
      </w:rPr>
    </w:tblStylePr>
    <w:tblStylePr w:type="firstRow">
      <w:rPr>
        <w:b/>
        <w:sz w:val="22"/>
      </w:rPr>
      <w:tcPr>
        <w:tcBorders>
          <w:top w:val="single" w:color="4BACC6" w:themeColor="accent5" w:sz="4" w:space="0"/>
          <w:left w:val="none" w:color="000000" w:sz="4" w:space="0"/>
          <w:bottom w:val="single" w:color="4BACC6" w:themeColor="accent5" w:sz="4" w:space="0"/>
          <w:right w:val="none" w:color="000000" w:sz="4" w:space="0"/>
        </w:tcBorders>
      </w:tcPr>
    </w:tblStylePr>
    <w:tblStylePr w:type="lastCol">
      <w:rPr>
        <w:b/>
        <w:sz w:val="22"/>
      </w:rPr>
    </w:tblStylePr>
    <w:tblStylePr w:type="lastRow">
      <w:rPr>
        <w:b/>
        <w:sz w:val="22"/>
      </w:rPr>
      <w:tcPr>
        <w:tcBorders>
          <w:top w:val="single" w:color="4BACC6" w:themeColor="accent5" w:sz="4" w:space="0"/>
          <w:left w:val="none" w:color="000000" w:sz="4" w:space="0"/>
          <w:bottom w:val="single" w:color="4BACC6" w:themeColor="accent5" w:sz="4" w:space="0"/>
          <w:right w:val="none" w:color="000000" w:sz="4" w:space="0"/>
        </w:tcBorders>
      </w:tcPr>
    </w:tblStylePr>
  </w:style>
  <w:style w:type="table" w:styleId="1513" w:customStyle="1">
    <w:name w:val="List Table 2 - Accent 6"/>
    <w:basedOn w:val="1126"/>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sz w:val="22"/>
      </w:rPr>
      <w:tcPr>
        <w:shd w:val="clear" w:color="fde4d0" w:fill="fde4d0" w:themeFill="accent6" w:themeFillTint="40"/>
      </w:tcPr>
    </w:tblStylePr>
    <w:tblStylePr w:type="band1Vert">
      <w:rPr>
        <w:sz w:val="22"/>
      </w:rPr>
      <w:tcPr>
        <w:shd w:val="clear" w:color="fde4d0" w:fill="fde4d0" w:themeFill="accent6" w:themeFillTint="40"/>
      </w:tcPr>
    </w:tblStylePr>
    <w:tblStylePr w:type="firstCol">
      <w:rPr>
        <w:b/>
        <w:sz w:val="22"/>
      </w:rPr>
    </w:tblStylePr>
    <w:tblStylePr w:type="firstRow">
      <w:rPr>
        <w:b/>
        <w:sz w:val="22"/>
      </w:rPr>
      <w:tcPr>
        <w:tcBorders>
          <w:top w:val="single" w:color="F79646" w:themeColor="accent6" w:sz="4" w:space="0"/>
          <w:left w:val="none" w:color="000000" w:sz="4" w:space="0"/>
          <w:bottom w:val="single" w:color="F79646" w:themeColor="accent6" w:sz="4" w:space="0"/>
          <w:right w:val="none" w:color="000000" w:sz="4" w:space="0"/>
        </w:tcBorders>
      </w:tcPr>
    </w:tblStylePr>
    <w:tblStylePr w:type="lastCol">
      <w:rPr>
        <w:b/>
        <w:sz w:val="22"/>
      </w:rPr>
    </w:tblStylePr>
    <w:tblStylePr w:type="lastRow">
      <w:rPr>
        <w:b/>
        <w:sz w:val="22"/>
      </w:rPr>
      <w:tcPr>
        <w:tcBorders>
          <w:top w:val="single" w:color="F79646" w:themeColor="accent6" w:sz="4" w:space="0"/>
          <w:left w:val="none" w:color="000000" w:sz="4" w:space="0"/>
          <w:bottom w:val="single" w:color="F79646" w:themeColor="accent6" w:sz="4" w:space="0"/>
          <w:right w:val="none" w:color="000000" w:sz="4" w:space="0"/>
        </w:tcBorders>
      </w:tcPr>
    </w:tblStylePr>
  </w:style>
  <w:style w:type="table" w:styleId="1514" w:customStyle="1">
    <w:name w:val="Список-таблица 31"/>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sz w:val="22"/>
      </w:rPr>
      <w:tcPr>
        <w:tcBorders>
          <w:top w:val="single" w:color="000000" w:themeColor="text1" w:sz="4" w:space="0"/>
          <w:bottom w:val="single" w:color="000000" w:themeColor="text1" w:sz="4" w:space="0"/>
        </w:tcBorders>
      </w:tcPr>
    </w:tblStylePr>
    <w:tblStylePr w:type="band1Vert">
      <w:rPr>
        <w:sz w:val="22"/>
      </w:rPr>
      <w:tcPr>
        <w:tcBorders>
          <w:left w:val="single" w:color="000000" w:themeColor="text1" w:sz="4" w:space="0"/>
          <w:right w:val="single" w:color="000000" w:themeColor="text1" w:sz="4" w:space="0"/>
        </w:tcBorders>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515" w:customStyle="1">
    <w:name w:val="List Table 3 - Accent 1"/>
    <w:basedOn w:val="1126"/>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108" w:type="dxa"/>
        <w:top w:w="0" w:type="dxa"/>
        <w:right w:w="108" w:type="dxa"/>
        <w:bottom w:w="0" w:type="dxa"/>
      </w:tblCellMar>
    </w:tblPr>
    <w:tblStylePr w:type="band1Horz">
      <w:rPr>
        <w:sz w:val="22"/>
      </w:rPr>
      <w:tcPr>
        <w:tcBorders>
          <w:top w:val="single" w:color="4F81BD" w:themeColor="accent1" w:sz="4" w:space="0"/>
          <w:bottom w:val="single" w:color="4F81BD" w:themeColor="accent1" w:sz="4" w:space="0"/>
        </w:tcBorders>
      </w:tcPr>
    </w:tblStylePr>
    <w:tblStylePr w:type="band1Vert">
      <w:rPr>
        <w:sz w:val="22"/>
      </w:rPr>
      <w:tcPr>
        <w:tcBorders>
          <w:left w:val="single" w:color="4F81BD" w:themeColor="accent1" w:sz="4" w:space="0"/>
          <w:right w:val="single" w:color="4F81BD" w:themeColor="accent1" w:sz="4" w:space="0"/>
        </w:tcBorders>
      </w:tcPr>
    </w:tblStylePr>
    <w:tblStylePr w:type="firstCol">
      <w:rPr>
        <w:b/>
      </w:rPr>
    </w:tblStylePr>
    <w:tblStylePr w:type="firstRow">
      <w:rPr>
        <w:b/>
        <w:sz w:val="22"/>
      </w:rPr>
      <w:tcPr>
        <w:shd w:val="clear" w:color="4f81bd" w:fill="4f81bd" w:themeFill="accent1"/>
      </w:tcPr>
    </w:tblStylePr>
    <w:tblStylePr w:type="lastCol">
      <w:rPr>
        <w:b/>
      </w:rPr>
    </w:tblStylePr>
    <w:tblStylePr w:type="lastRow">
      <w:rPr>
        <w:b/>
      </w:rPr>
    </w:tblStylePr>
  </w:style>
  <w:style w:type="table" w:styleId="1516" w:customStyle="1">
    <w:name w:val="List Table 3 - Accent 2"/>
    <w:basedOn w:val="1126"/>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108" w:type="dxa"/>
        <w:top w:w="0" w:type="dxa"/>
        <w:right w:w="108" w:type="dxa"/>
        <w:bottom w:w="0" w:type="dxa"/>
      </w:tblCellMar>
    </w:tblPr>
    <w:tblStylePr w:type="band1Horz">
      <w:rPr>
        <w:sz w:val="22"/>
      </w:rPr>
      <w:tcPr>
        <w:tcBorders>
          <w:top w:val="single" w:color="C0504D" w:themeColor="accent2" w:sz="4" w:space="0"/>
          <w:bottom w:val="single" w:color="C0504D" w:themeColor="accent2" w:sz="4" w:space="0"/>
        </w:tcBorders>
      </w:tcPr>
    </w:tblStylePr>
    <w:tblStylePr w:type="band1Vert">
      <w:rPr>
        <w:sz w:val="22"/>
      </w:rPr>
      <w:tcPr>
        <w:tcBorders>
          <w:left w:val="single" w:color="C0504D" w:themeColor="accent2" w:sz="4" w:space="0"/>
          <w:right w:val="single" w:color="C0504D" w:themeColor="accent2" w:sz="4" w:space="0"/>
        </w:tcBorders>
      </w:tcPr>
    </w:tblStylePr>
    <w:tblStylePr w:type="firstCol">
      <w:rPr>
        <w:b/>
      </w:rPr>
    </w:tblStylePr>
    <w:tblStylePr w:type="firstRow">
      <w:rPr>
        <w:b/>
        <w:sz w:val="22"/>
      </w:rPr>
      <w:tcPr>
        <w:shd w:val="clear" w:color="d99695" w:fill="d99695" w:themeFill="accent2" w:themeFillTint="97"/>
      </w:tcPr>
    </w:tblStylePr>
    <w:tblStylePr w:type="lastCol">
      <w:rPr>
        <w:b/>
      </w:rPr>
    </w:tblStylePr>
    <w:tblStylePr w:type="lastRow">
      <w:rPr>
        <w:b/>
      </w:rPr>
    </w:tblStylePr>
  </w:style>
  <w:style w:type="table" w:styleId="1517" w:customStyle="1">
    <w:name w:val="List Table 3 - Accent 3"/>
    <w:basedOn w:val="1126"/>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108" w:type="dxa"/>
        <w:top w:w="0" w:type="dxa"/>
        <w:right w:w="108" w:type="dxa"/>
        <w:bottom w:w="0" w:type="dxa"/>
      </w:tblCellMar>
    </w:tblPr>
    <w:tblStylePr w:type="band1Horz">
      <w:rPr>
        <w:sz w:val="22"/>
      </w:rPr>
      <w:tcPr>
        <w:tcBorders>
          <w:top w:val="single" w:color="9BBB59" w:themeColor="accent3" w:sz="4" w:space="0"/>
          <w:bottom w:val="single" w:color="9BBB59" w:themeColor="accent3" w:sz="4" w:space="0"/>
        </w:tcBorders>
      </w:tcPr>
    </w:tblStylePr>
    <w:tblStylePr w:type="band1Vert">
      <w:rPr>
        <w:sz w:val="22"/>
      </w:rPr>
      <w:tcPr>
        <w:tcBorders>
          <w:left w:val="single" w:color="9BBB59" w:themeColor="accent3" w:sz="4" w:space="0"/>
          <w:right w:val="single" w:color="9BBB59" w:themeColor="accent3" w:sz="4" w:space="0"/>
        </w:tcBorders>
      </w:tcPr>
    </w:tblStylePr>
    <w:tblStylePr w:type="firstCol">
      <w:rPr>
        <w:b/>
      </w:rPr>
    </w:tblStylePr>
    <w:tblStylePr w:type="firstRow">
      <w:rPr>
        <w:b/>
        <w:sz w:val="22"/>
      </w:rPr>
      <w:tcPr>
        <w:shd w:val="clear" w:color="c3d69b" w:fill="c3d69b" w:themeFill="accent3" w:themeFillTint="98"/>
      </w:tcPr>
    </w:tblStylePr>
    <w:tblStylePr w:type="lastCol">
      <w:rPr>
        <w:b/>
      </w:rPr>
    </w:tblStylePr>
    <w:tblStylePr w:type="lastRow">
      <w:rPr>
        <w:b/>
      </w:rPr>
    </w:tblStylePr>
  </w:style>
  <w:style w:type="table" w:styleId="1518" w:customStyle="1">
    <w:name w:val="List Table 3 - Accent 4"/>
    <w:basedOn w:val="1126"/>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108" w:type="dxa"/>
        <w:top w:w="0" w:type="dxa"/>
        <w:right w:w="108" w:type="dxa"/>
        <w:bottom w:w="0" w:type="dxa"/>
      </w:tblCellMar>
    </w:tblPr>
    <w:tblStylePr w:type="band1Horz">
      <w:rPr>
        <w:sz w:val="22"/>
      </w:rPr>
      <w:tcPr>
        <w:tcBorders>
          <w:top w:val="single" w:color="8064A2" w:themeColor="accent4" w:sz="4" w:space="0"/>
          <w:bottom w:val="single" w:color="8064A2" w:themeColor="accent4" w:sz="4" w:space="0"/>
        </w:tcBorders>
      </w:tcPr>
    </w:tblStylePr>
    <w:tblStylePr w:type="band1Vert">
      <w:rPr>
        <w:sz w:val="22"/>
      </w:rPr>
      <w:tcPr>
        <w:tcBorders>
          <w:left w:val="single" w:color="8064A2" w:themeColor="accent4" w:sz="4" w:space="0"/>
          <w:right w:val="single" w:color="8064A2" w:themeColor="accent4" w:sz="4" w:space="0"/>
        </w:tcBorders>
      </w:tcPr>
    </w:tblStylePr>
    <w:tblStylePr w:type="firstCol">
      <w:rPr>
        <w:b/>
      </w:rPr>
    </w:tblStylePr>
    <w:tblStylePr w:type="firstRow">
      <w:rPr>
        <w:b/>
        <w:sz w:val="22"/>
      </w:rPr>
      <w:tcPr>
        <w:shd w:val="clear" w:color="b2a1c6" w:fill="b2a1c6" w:themeFill="accent4" w:themeFillTint="9A"/>
      </w:tcPr>
    </w:tblStylePr>
    <w:tblStylePr w:type="lastCol">
      <w:rPr>
        <w:b/>
      </w:rPr>
    </w:tblStylePr>
    <w:tblStylePr w:type="lastRow">
      <w:rPr>
        <w:b/>
      </w:rPr>
    </w:tblStylePr>
  </w:style>
  <w:style w:type="table" w:styleId="1519" w:customStyle="1">
    <w:name w:val="List Table 3 - Accent 5"/>
    <w:basedOn w:val="1126"/>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108" w:type="dxa"/>
        <w:top w:w="0" w:type="dxa"/>
        <w:right w:w="108" w:type="dxa"/>
        <w:bottom w:w="0" w:type="dxa"/>
      </w:tblCellMar>
    </w:tblPr>
    <w:tblStylePr w:type="band1Horz">
      <w:rPr>
        <w:sz w:val="22"/>
      </w:rPr>
      <w:tcPr>
        <w:tcBorders>
          <w:top w:val="single" w:color="4BACC6" w:themeColor="accent5" w:sz="4" w:space="0"/>
          <w:bottom w:val="single" w:color="4BACC6" w:themeColor="accent5" w:sz="4" w:space="0"/>
        </w:tcBorders>
      </w:tcPr>
    </w:tblStylePr>
    <w:tblStylePr w:type="band1Vert">
      <w:rPr>
        <w:sz w:val="22"/>
      </w:rPr>
      <w:tcPr>
        <w:tcBorders>
          <w:left w:val="single" w:color="4BACC6" w:themeColor="accent5" w:sz="4" w:space="0"/>
          <w:right w:val="single" w:color="4BACC6" w:themeColor="accent5" w:sz="4" w:space="0"/>
        </w:tcBorders>
      </w:tcPr>
    </w:tblStylePr>
    <w:tblStylePr w:type="firstCol">
      <w:rPr>
        <w:b/>
      </w:rPr>
    </w:tblStylePr>
    <w:tblStylePr w:type="firstRow">
      <w:rPr>
        <w:b/>
        <w:sz w:val="22"/>
      </w:rPr>
      <w:tcPr>
        <w:shd w:val="clear" w:color="92ccdc" w:fill="92ccdc" w:themeFill="accent5" w:themeFillTint="9A"/>
      </w:tcPr>
    </w:tblStylePr>
    <w:tblStylePr w:type="lastCol">
      <w:rPr>
        <w:b/>
      </w:rPr>
    </w:tblStylePr>
    <w:tblStylePr w:type="lastRow">
      <w:rPr>
        <w:b/>
      </w:rPr>
    </w:tblStylePr>
  </w:style>
  <w:style w:type="table" w:styleId="1520" w:customStyle="1">
    <w:name w:val="List Table 3 - Accent 6"/>
    <w:basedOn w:val="1126"/>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108" w:type="dxa"/>
        <w:top w:w="0" w:type="dxa"/>
        <w:right w:w="108" w:type="dxa"/>
        <w:bottom w:w="0" w:type="dxa"/>
      </w:tblCellMar>
    </w:tblPr>
    <w:tblStylePr w:type="band1Horz">
      <w:rPr>
        <w:sz w:val="22"/>
      </w:rPr>
      <w:tcPr>
        <w:tcBorders>
          <w:top w:val="single" w:color="F79646" w:themeColor="accent6" w:sz="4" w:space="0"/>
          <w:bottom w:val="single" w:color="F79646" w:themeColor="accent6" w:sz="4" w:space="0"/>
        </w:tcBorders>
      </w:tcPr>
    </w:tblStylePr>
    <w:tblStylePr w:type="band1Vert">
      <w:rPr>
        <w:sz w:val="22"/>
      </w:rPr>
      <w:tcPr>
        <w:tcBorders>
          <w:left w:val="single" w:color="F79646" w:themeColor="accent6" w:sz="4" w:space="0"/>
          <w:right w:val="single" w:color="F79646" w:themeColor="accent6" w:sz="4" w:space="0"/>
        </w:tcBorders>
      </w:tcPr>
    </w:tblStylePr>
    <w:tblStylePr w:type="firstCol">
      <w:rPr>
        <w:b/>
      </w:rPr>
    </w:tblStylePr>
    <w:tblStylePr w:type="firstRow">
      <w:rPr>
        <w:b/>
        <w:sz w:val="22"/>
      </w:rPr>
      <w:tcPr>
        <w:shd w:val="clear" w:color="fac090" w:fill="fac090" w:themeFill="accent6" w:themeFillTint="98"/>
      </w:tcPr>
    </w:tblStylePr>
    <w:tblStylePr w:type="lastCol">
      <w:rPr>
        <w:b/>
      </w:rPr>
    </w:tblStylePr>
    <w:tblStylePr w:type="lastRow">
      <w:rPr>
        <w:b/>
      </w:rPr>
    </w:tblStylePr>
  </w:style>
  <w:style w:type="table" w:styleId="1521" w:customStyle="1">
    <w:name w:val="Список-таблица 41"/>
    <w:basedOn w:val="1126"/>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sz w:val="22"/>
      </w:rPr>
      <w:tcPr>
        <w:shd w:val="clear" w:color="bfbfbf" w:fill="bfbfbf" w:themeFill="text1" w:themeFillTint="40"/>
      </w:tcPr>
    </w:tblStylePr>
    <w:tblStylePr w:type="band1Vert">
      <w:rPr>
        <w:sz w:val="22"/>
      </w:rPr>
      <w:tcPr>
        <w:shd w:val="clear" w:color="bfbfbf" w:fill="bfbfbf" w:themeFill="text1" w:themeFillTint="40"/>
      </w:tcPr>
    </w:tblStylePr>
    <w:tblStylePr w:type="firstCol">
      <w:rPr>
        <w:b/>
      </w:rPr>
    </w:tblStylePr>
    <w:tblStylePr w:type="firstRow">
      <w:rPr>
        <w:b/>
        <w:sz w:val="22"/>
      </w:rPr>
      <w:tcPr>
        <w:shd w:val="clear" w:color="000000" w:fill="000000" w:themeFill="text1"/>
      </w:tcPr>
    </w:tblStylePr>
    <w:tblStylePr w:type="lastCol">
      <w:rPr>
        <w:b/>
      </w:rPr>
    </w:tblStylePr>
    <w:tblStylePr w:type="lastRow">
      <w:rPr>
        <w:b/>
      </w:rPr>
    </w:tblStylePr>
  </w:style>
  <w:style w:type="table" w:styleId="1522" w:customStyle="1">
    <w:name w:val="List Table 4 - Accent 1"/>
    <w:basedOn w:val="1126"/>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sz w:val="22"/>
      </w:rPr>
      <w:tcPr>
        <w:shd w:val="clear" w:color="d2dfee" w:fill="d2dfee" w:themeFill="accent1" w:themeFillTint="40"/>
      </w:tcPr>
    </w:tblStylePr>
    <w:tblStylePr w:type="band1Vert">
      <w:rPr>
        <w:sz w:val="22"/>
      </w:rPr>
      <w:tcPr>
        <w:shd w:val="clear" w:color="d2dfee" w:fill="d2dfee" w:themeFill="accent1" w:themeFillTint="40"/>
      </w:tcPr>
    </w:tblStylePr>
    <w:tblStylePr w:type="firstCol">
      <w:rPr>
        <w:b/>
      </w:rPr>
    </w:tblStylePr>
    <w:tblStylePr w:type="firstRow">
      <w:rPr>
        <w:b/>
        <w:sz w:val="22"/>
      </w:rPr>
      <w:tcPr>
        <w:shd w:val="clear" w:color="4f81bd" w:fill="4f81bd" w:themeFill="accent1"/>
      </w:tcPr>
    </w:tblStylePr>
    <w:tblStylePr w:type="lastCol">
      <w:rPr>
        <w:b/>
      </w:rPr>
    </w:tblStylePr>
    <w:tblStylePr w:type="lastRow">
      <w:rPr>
        <w:b/>
      </w:rPr>
    </w:tblStylePr>
  </w:style>
  <w:style w:type="table" w:styleId="1523" w:customStyle="1">
    <w:name w:val="List Table 4 - Accent 2"/>
    <w:basedOn w:val="1126"/>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sz w:val="22"/>
      </w:rPr>
      <w:tcPr>
        <w:shd w:val="clear" w:color="efd2d2" w:fill="efd2d2" w:themeFill="accent2" w:themeFillTint="40"/>
      </w:tcPr>
    </w:tblStylePr>
    <w:tblStylePr w:type="band1Vert">
      <w:rPr>
        <w:sz w:val="22"/>
      </w:rPr>
      <w:tcPr>
        <w:shd w:val="clear" w:color="efd2d2" w:fill="efd2d2" w:themeFill="accent2" w:themeFillTint="40"/>
      </w:tcPr>
    </w:tblStylePr>
    <w:tblStylePr w:type="firstCol">
      <w:rPr>
        <w:b/>
      </w:rPr>
    </w:tblStylePr>
    <w:tblStylePr w:type="firstRow">
      <w:rPr>
        <w:b/>
        <w:sz w:val="22"/>
      </w:rPr>
      <w:tcPr>
        <w:shd w:val="clear" w:color="c0504d" w:fill="c0504d" w:themeFill="accent2"/>
      </w:tcPr>
    </w:tblStylePr>
    <w:tblStylePr w:type="lastCol">
      <w:rPr>
        <w:b/>
      </w:rPr>
    </w:tblStylePr>
    <w:tblStylePr w:type="lastRow">
      <w:rPr>
        <w:b/>
      </w:rPr>
    </w:tblStylePr>
  </w:style>
  <w:style w:type="table" w:styleId="1524" w:customStyle="1">
    <w:name w:val="List Table 4 - Accent 3"/>
    <w:basedOn w:val="1126"/>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sz w:val="22"/>
      </w:rPr>
      <w:tcPr>
        <w:shd w:val="clear" w:color="e5eed5" w:fill="e5eed5" w:themeFill="accent3" w:themeFillTint="40"/>
      </w:tcPr>
    </w:tblStylePr>
    <w:tblStylePr w:type="band1Vert">
      <w:rPr>
        <w:sz w:val="22"/>
      </w:rPr>
      <w:tcPr>
        <w:shd w:val="clear" w:color="e5eed5" w:fill="e5eed5" w:themeFill="accent3" w:themeFillTint="40"/>
      </w:tcPr>
    </w:tblStylePr>
    <w:tblStylePr w:type="firstCol">
      <w:rPr>
        <w:b/>
      </w:rPr>
    </w:tblStylePr>
    <w:tblStylePr w:type="firstRow">
      <w:rPr>
        <w:b/>
        <w:sz w:val="22"/>
      </w:rPr>
      <w:tcPr>
        <w:shd w:val="clear" w:color="9bbb59" w:fill="9bbb59" w:themeFill="accent3"/>
      </w:tcPr>
    </w:tblStylePr>
    <w:tblStylePr w:type="lastCol">
      <w:rPr>
        <w:b/>
      </w:rPr>
    </w:tblStylePr>
    <w:tblStylePr w:type="lastRow">
      <w:rPr>
        <w:b/>
      </w:rPr>
    </w:tblStylePr>
  </w:style>
  <w:style w:type="table" w:styleId="1525" w:customStyle="1">
    <w:name w:val="List Table 4 - Accent 4"/>
    <w:basedOn w:val="1126"/>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sz w:val="22"/>
      </w:rPr>
      <w:tcPr>
        <w:shd w:val="clear" w:color="dfd8e7" w:fill="dfd8e7" w:themeFill="accent4" w:themeFillTint="40"/>
      </w:tcPr>
    </w:tblStylePr>
    <w:tblStylePr w:type="band1Vert">
      <w:rPr>
        <w:sz w:val="22"/>
      </w:rPr>
      <w:tcPr>
        <w:shd w:val="clear" w:color="dfd8e7" w:fill="dfd8e7" w:themeFill="accent4" w:themeFillTint="40"/>
      </w:tcPr>
    </w:tblStylePr>
    <w:tblStylePr w:type="firstCol">
      <w:rPr>
        <w:b/>
      </w:rPr>
    </w:tblStylePr>
    <w:tblStylePr w:type="firstRow">
      <w:rPr>
        <w:b/>
        <w:sz w:val="22"/>
      </w:rPr>
      <w:tcPr>
        <w:shd w:val="clear" w:color="8064a2" w:fill="8064a2" w:themeFill="accent4"/>
      </w:tcPr>
    </w:tblStylePr>
    <w:tblStylePr w:type="lastCol">
      <w:rPr>
        <w:b/>
      </w:rPr>
    </w:tblStylePr>
    <w:tblStylePr w:type="lastRow">
      <w:rPr>
        <w:b/>
      </w:rPr>
    </w:tblStylePr>
  </w:style>
  <w:style w:type="table" w:styleId="1526" w:customStyle="1">
    <w:name w:val="List Table 4 - Accent 5"/>
    <w:basedOn w:val="1126"/>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sz w:val="22"/>
      </w:rPr>
      <w:tcPr>
        <w:shd w:val="clear" w:color="d1eaf0" w:fill="d1eaf0" w:themeFill="accent5" w:themeFillTint="40"/>
      </w:tcPr>
    </w:tblStylePr>
    <w:tblStylePr w:type="band1Vert">
      <w:rPr>
        <w:sz w:val="22"/>
      </w:rPr>
      <w:tcPr>
        <w:shd w:val="clear" w:color="d1eaf0" w:fill="d1eaf0" w:themeFill="accent5" w:themeFillTint="40"/>
      </w:tcPr>
    </w:tblStylePr>
    <w:tblStylePr w:type="firstCol">
      <w:rPr>
        <w:b/>
      </w:rPr>
    </w:tblStylePr>
    <w:tblStylePr w:type="firstRow">
      <w:rPr>
        <w:b/>
        <w:sz w:val="22"/>
      </w:rPr>
      <w:tcPr>
        <w:shd w:val="clear" w:color="4bacc6" w:fill="4bacc6" w:themeFill="accent5"/>
      </w:tcPr>
    </w:tblStylePr>
    <w:tblStylePr w:type="lastCol">
      <w:rPr>
        <w:b/>
      </w:rPr>
    </w:tblStylePr>
    <w:tblStylePr w:type="lastRow">
      <w:rPr>
        <w:b/>
      </w:rPr>
    </w:tblStylePr>
  </w:style>
  <w:style w:type="table" w:styleId="1527" w:customStyle="1">
    <w:name w:val="List Table 4 - Accent 6"/>
    <w:basedOn w:val="1126"/>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sz w:val="22"/>
      </w:rPr>
      <w:tcPr>
        <w:shd w:val="clear" w:color="fde4d0" w:fill="fde4d0" w:themeFill="accent6" w:themeFillTint="40"/>
      </w:tcPr>
    </w:tblStylePr>
    <w:tblStylePr w:type="band1Vert">
      <w:rPr>
        <w:sz w:val="22"/>
      </w:rPr>
      <w:tcPr>
        <w:shd w:val="clear" w:color="fde4d0" w:fill="fde4d0" w:themeFill="accent6" w:themeFillTint="40"/>
      </w:tcPr>
    </w:tblStylePr>
    <w:tblStylePr w:type="firstCol">
      <w:rPr>
        <w:b/>
      </w:rPr>
    </w:tblStylePr>
    <w:tblStylePr w:type="firstRow">
      <w:rPr>
        <w:b/>
        <w:sz w:val="22"/>
      </w:rPr>
      <w:tcPr>
        <w:shd w:val="clear" w:color="f79646" w:fill="f79646" w:themeFill="accent6"/>
      </w:tcPr>
    </w:tblStylePr>
    <w:tblStylePr w:type="lastCol">
      <w:rPr>
        <w:b/>
      </w:rPr>
    </w:tblStylePr>
    <w:tblStylePr w:type="lastRow">
      <w:rPr>
        <w:b/>
      </w:rPr>
    </w:tblStylePr>
  </w:style>
  <w:style w:type="table" w:styleId="1528" w:customStyle="1">
    <w:name w:val="Список-таблица 5 темная1"/>
    <w:basedOn w:val="1126"/>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left w:w="108" w:type="dxa"/>
        <w:top w:w="0" w:type="dxa"/>
        <w:right w:w="108" w:type="dxa"/>
        <w:bottom w:w="0" w:type="dxa"/>
      </w:tblCellMar>
    </w:tblPr>
    <w:tblStylePr w:type="band1Horz">
      <w:tcPr>
        <w:shd w:val="clear" w:color="7f7f7f" w:fill="7f7f7f" w:themeFill="text1" w:themeFillTint="80"/>
        <w:tcBorders>
          <w:top w:val="single" w:color="FFFFFF" w:themeColor="light1" w:sz="4" w:space="0"/>
          <w:bottom w:val="single" w:color="FFFFFF" w:themeColor="light1" w:sz="4" w:space="0"/>
        </w:tcBorders>
      </w:tcPr>
    </w:tblStylePr>
    <w:tblStylePr w:type="band1Vert">
      <w:tcPr>
        <w:shd w:val="clear" w:color="7f7f7f" w:fill="7f7f7f" w:themeFill="text1" w:themeFillTint="80"/>
        <w:tcBorders>
          <w:left w:val="single" w:color="FFFFFF" w:themeColor="light1" w:sz="4" w:space="0"/>
          <w:right w:val="single" w:color="FFFFFF" w:themeColor="light1" w:sz="4" w:space="0"/>
        </w:tcBorders>
      </w:tcPr>
    </w:tblStylePr>
    <w:tblStylePr w:type="band2Horz">
      <w:tcPr>
        <w:shd w:val="clear" w:color="7f7f7f"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000000" w:themeColor="text1" w:sz="32" w:space="0"/>
          <w:right w:val="single" w:color="FFFFFF" w:themeColor="light1" w:sz="4" w:space="0"/>
        </w:tcBorders>
      </w:tcPr>
    </w:tblStylePr>
    <w:tblStylePr w:type="firstRow">
      <w:rPr>
        <w:b/>
        <w:color w:val="ffffff" w:themeColor="light1"/>
        <w:sz w:val="22"/>
      </w:rPr>
      <w:tcPr>
        <w:shd w:val="clear" w:color="7f7f7f" w:fill="7f7f7f" w:themeFill="text1" w:themeFillTint="80"/>
        <w:tcBorders>
          <w:top w:val="single" w:color="000000" w:themeColor="text1" w:sz="32" w:space="0"/>
          <w:bottom w:val="single" w:color="FFFFFF" w:themeColor="light1" w:sz="12" w:space="0"/>
        </w:tcBorders>
      </w:tcPr>
    </w:tblStylePr>
    <w:tblStylePr w:type="lastCol">
      <w:tcPr>
        <w:tcBorders>
          <w:left w:val="single" w:color="FFFFFF" w:themeColor="light1" w:sz="4" w:space="0"/>
          <w:right w:val="single" w:color="000000" w:themeColor="text1" w:sz="32" w:space="0"/>
        </w:tcBorders>
      </w:tcPr>
    </w:tblStylePr>
    <w:tblStylePr w:type="lastRow">
      <w:rPr>
        <w:b/>
        <w:color w:val="ffffff" w:themeColor="light1"/>
        <w:sz w:val="22"/>
      </w:rPr>
    </w:tblStylePr>
  </w:style>
  <w:style w:type="table" w:styleId="1529" w:customStyle="1">
    <w:name w:val="List Table 5 Dark - Accent 1"/>
    <w:basedOn w:val="1126"/>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left w:w="108" w:type="dxa"/>
        <w:top w:w="0" w:type="dxa"/>
        <w:right w:w="108" w:type="dxa"/>
        <w:bottom w:w="0" w:type="dxa"/>
      </w:tblCellMar>
    </w:tblPr>
    <w:tblStylePr w:type="band1Horz">
      <w:tcPr>
        <w:shd w:val="clear" w:color="4f81bd" w:fill="4f81bd" w:themeFill="accent1"/>
        <w:tcBorders>
          <w:top w:val="single" w:color="FFFFFF" w:themeColor="light1" w:sz="4" w:space="0"/>
          <w:bottom w:val="single" w:color="FFFFFF" w:themeColor="light1" w:sz="4" w:space="0"/>
        </w:tcBorders>
      </w:tcPr>
    </w:tblStylePr>
    <w:tblStylePr w:type="band1Vert">
      <w:tcPr>
        <w:shd w:val="clear" w:color="4f81bd" w:fill="4f81bd" w:themeFill="accent1"/>
        <w:tcBorders>
          <w:left w:val="single" w:color="FFFFFF" w:themeColor="light1" w:sz="4" w:space="0"/>
          <w:right w:val="single" w:color="FFFFFF" w:themeColor="light1" w:sz="4" w:space="0"/>
        </w:tcBorders>
      </w:tcPr>
    </w:tblStylePr>
    <w:tblStylePr w:type="band2Horz">
      <w:tcPr>
        <w:shd w:val="clear" w:color="4f81bd"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F81BD" w:themeColor="accent1" w:sz="32" w:space="0"/>
          <w:right w:val="single" w:color="FFFFFF" w:themeColor="light1" w:sz="4" w:space="0"/>
        </w:tcBorders>
      </w:tcPr>
    </w:tblStylePr>
    <w:tblStylePr w:type="firstRow">
      <w:rPr>
        <w:b/>
        <w:color w:val="ffffff" w:themeColor="light1"/>
        <w:sz w:val="22"/>
      </w:rPr>
      <w:tcPr>
        <w:shd w:val="clear" w:color="4f81bd"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b/>
        <w:color w:val="ffffff" w:themeColor="light1"/>
        <w:sz w:val="22"/>
      </w:rPr>
    </w:tblStylePr>
  </w:style>
  <w:style w:type="table" w:styleId="1530" w:customStyle="1">
    <w:name w:val="List Table 5 Dark - Accent 2"/>
    <w:basedOn w:val="1126"/>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left w:w="108" w:type="dxa"/>
        <w:top w:w="0" w:type="dxa"/>
        <w:right w:w="108" w:type="dxa"/>
        <w:bottom w:w="0" w:type="dxa"/>
      </w:tblCellMar>
    </w:tblPr>
    <w:tblStylePr w:type="band1Horz">
      <w:tcPr>
        <w:shd w:val="clear" w:color="d99695" w:fill="d99695" w:themeFill="accent2" w:themeFillTint="97"/>
        <w:tcBorders>
          <w:top w:val="single" w:color="FFFFFF" w:themeColor="light1" w:sz="4" w:space="0"/>
          <w:bottom w:val="single" w:color="FFFFFF" w:themeColor="light1" w:sz="4" w:space="0"/>
        </w:tcBorders>
      </w:tcPr>
    </w:tblStylePr>
    <w:tblStylePr w:type="band1Vert">
      <w:tcPr>
        <w:shd w:val="clear" w:color="d99695" w:fill="d99695" w:themeFill="accent2" w:themeFillTint="97"/>
        <w:tcBorders>
          <w:left w:val="single" w:color="FFFFFF" w:themeColor="light1" w:sz="4" w:space="0"/>
          <w:right w:val="single" w:color="FFFFFF" w:themeColor="light1" w:sz="4" w:space="0"/>
        </w:tcBorders>
      </w:tcPr>
    </w:tblStylePr>
    <w:tblStylePr w:type="band2Horz">
      <w:tcPr>
        <w:shd w:val="clear" w:color="d99695"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C0504D" w:themeColor="accent2" w:sz="32" w:space="0"/>
          <w:right w:val="single" w:color="FFFFFF" w:themeColor="light1" w:sz="4" w:space="0"/>
        </w:tcBorders>
      </w:tcPr>
    </w:tblStylePr>
    <w:tblStylePr w:type="firstRow">
      <w:rPr>
        <w:b/>
        <w:color w:val="ffffff" w:themeColor="light1"/>
        <w:sz w:val="22"/>
      </w:rPr>
      <w:tcPr>
        <w:shd w:val="clear" w:color="d99695" w:fill="d99695" w:themeFill="accent2" w:themeFillTint="97"/>
        <w:tcBorders>
          <w:top w:val="single" w:color="C0504D" w:themeColor="accent2" w:sz="32" w:space="0"/>
          <w:bottom w:val="single" w:color="FFFFFF" w:themeColor="light1" w:sz="12" w:space="0"/>
        </w:tcBorders>
      </w:tcPr>
    </w:tblStylePr>
    <w:tblStylePr w:type="lastCol">
      <w:tcPr>
        <w:tcBorders>
          <w:left w:val="single" w:color="FFFFFF" w:themeColor="light1" w:sz="4" w:space="0"/>
          <w:right w:val="single" w:color="C0504D" w:themeColor="accent2" w:sz="32" w:space="0"/>
        </w:tcBorders>
      </w:tcPr>
    </w:tblStylePr>
    <w:tblStylePr w:type="lastRow">
      <w:rPr>
        <w:b/>
        <w:color w:val="ffffff" w:themeColor="light1"/>
        <w:sz w:val="22"/>
      </w:rPr>
    </w:tblStylePr>
  </w:style>
  <w:style w:type="table" w:styleId="1531" w:customStyle="1">
    <w:name w:val="List Table 5 Dark - Accent 3"/>
    <w:basedOn w:val="1126"/>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left w:w="108" w:type="dxa"/>
        <w:top w:w="0" w:type="dxa"/>
        <w:right w:w="108" w:type="dxa"/>
        <w:bottom w:w="0" w:type="dxa"/>
      </w:tblCellMar>
    </w:tblPr>
    <w:tblStylePr w:type="band1Horz">
      <w:tcPr>
        <w:shd w:val="clear" w:color="c3d69b" w:fill="c3d69b" w:themeFill="accent3" w:themeFillTint="98"/>
        <w:tcBorders>
          <w:top w:val="single" w:color="FFFFFF" w:themeColor="light1" w:sz="4" w:space="0"/>
          <w:bottom w:val="single" w:color="FFFFFF" w:themeColor="light1" w:sz="4" w:space="0"/>
        </w:tcBorders>
      </w:tcPr>
    </w:tblStylePr>
    <w:tblStylePr w:type="band1Vert">
      <w:tcPr>
        <w:shd w:val="clear" w:color="c3d69b" w:fill="c3d69b" w:themeFill="accent3" w:themeFillTint="98"/>
        <w:tcBorders>
          <w:left w:val="single" w:color="FFFFFF" w:themeColor="light1" w:sz="4" w:space="0"/>
          <w:right w:val="single" w:color="FFFFFF" w:themeColor="light1" w:sz="4" w:space="0"/>
        </w:tcBorders>
      </w:tcPr>
    </w:tblStylePr>
    <w:tblStylePr w:type="band2Horz">
      <w:tcPr>
        <w:shd w:val="clear" w:color="c3d69b"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9BBB59" w:themeColor="accent3" w:sz="32" w:space="0"/>
          <w:right w:val="single" w:color="FFFFFF" w:themeColor="light1" w:sz="4" w:space="0"/>
        </w:tcBorders>
      </w:tcPr>
    </w:tblStylePr>
    <w:tblStylePr w:type="firstRow">
      <w:rPr>
        <w:b/>
        <w:color w:val="ffffff" w:themeColor="light1"/>
        <w:sz w:val="22"/>
      </w:rPr>
      <w:tcPr>
        <w:shd w:val="clear" w:color="c3d69b" w:fill="c3d69b" w:themeFill="accent3" w:themeFillTint="98"/>
        <w:tcBorders>
          <w:top w:val="single" w:color="9BBB59" w:themeColor="accent3" w:sz="32" w:space="0"/>
          <w:bottom w:val="single" w:color="FFFFFF" w:themeColor="light1" w:sz="12" w:space="0"/>
        </w:tcBorders>
      </w:tcPr>
    </w:tblStylePr>
    <w:tblStylePr w:type="lastCol">
      <w:tcPr>
        <w:tcBorders>
          <w:left w:val="single" w:color="FFFFFF" w:themeColor="light1" w:sz="4" w:space="0"/>
          <w:right w:val="single" w:color="9BBB59" w:themeColor="accent3" w:sz="32" w:space="0"/>
        </w:tcBorders>
      </w:tcPr>
    </w:tblStylePr>
    <w:tblStylePr w:type="lastRow">
      <w:rPr>
        <w:b/>
        <w:color w:val="ffffff" w:themeColor="light1"/>
        <w:sz w:val="22"/>
      </w:rPr>
    </w:tblStylePr>
  </w:style>
  <w:style w:type="table" w:styleId="1532" w:customStyle="1">
    <w:name w:val="List Table 5 Dark - Accent 4"/>
    <w:basedOn w:val="1126"/>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left w:w="108" w:type="dxa"/>
        <w:top w:w="0" w:type="dxa"/>
        <w:right w:w="108" w:type="dxa"/>
        <w:bottom w:w="0" w:type="dxa"/>
      </w:tblCellMar>
    </w:tblPr>
    <w:tblStylePr w:type="band1Horz">
      <w:tcPr>
        <w:shd w:val="clear" w:color="b2a1c6" w:fill="b2a1c6" w:themeFill="accent4" w:themeFillTint="9A"/>
        <w:tcBorders>
          <w:top w:val="single" w:color="FFFFFF" w:themeColor="light1" w:sz="4" w:space="0"/>
          <w:bottom w:val="single" w:color="FFFFFF" w:themeColor="light1" w:sz="4" w:space="0"/>
        </w:tcBorders>
      </w:tcPr>
    </w:tblStylePr>
    <w:tblStylePr w:type="band1Vert">
      <w:tcPr>
        <w:shd w:val="clear" w:color="b2a1c6" w:fill="b2a1c6" w:themeFill="accent4" w:themeFillTint="9A"/>
        <w:tcBorders>
          <w:left w:val="single" w:color="FFFFFF" w:themeColor="light1" w:sz="4" w:space="0"/>
          <w:right w:val="single" w:color="FFFFFF" w:themeColor="light1" w:sz="4" w:space="0"/>
        </w:tcBorders>
      </w:tcPr>
    </w:tblStylePr>
    <w:tblStylePr w:type="band2Horz">
      <w:tcPr>
        <w:shd w:val="clear" w:color="b2a1c6"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8064A2" w:themeColor="accent4" w:sz="32" w:space="0"/>
          <w:right w:val="single" w:color="FFFFFF" w:themeColor="light1" w:sz="4" w:space="0"/>
        </w:tcBorders>
      </w:tcPr>
    </w:tblStylePr>
    <w:tblStylePr w:type="firstRow">
      <w:rPr>
        <w:b/>
        <w:color w:val="ffffff" w:themeColor="light1"/>
        <w:sz w:val="22"/>
      </w:rPr>
      <w:tcPr>
        <w:shd w:val="clear" w:color="b2a1c6" w:fill="b2a1c6" w:themeFill="accent4" w:themeFillTint="9A"/>
        <w:tcBorders>
          <w:top w:val="single" w:color="8064A2" w:themeColor="accent4" w:sz="32" w:space="0"/>
          <w:bottom w:val="single" w:color="FFFFFF" w:themeColor="light1" w:sz="12" w:space="0"/>
        </w:tcBorders>
      </w:tcPr>
    </w:tblStylePr>
    <w:tblStylePr w:type="lastCol">
      <w:tcPr>
        <w:tcBorders>
          <w:left w:val="single" w:color="FFFFFF" w:themeColor="light1" w:sz="4" w:space="0"/>
          <w:right w:val="single" w:color="8064A2" w:themeColor="accent4" w:sz="32" w:space="0"/>
        </w:tcBorders>
      </w:tcPr>
    </w:tblStylePr>
    <w:tblStylePr w:type="lastRow">
      <w:rPr>
        <w:b/>
        <w:color w:val="ffffff" w:themeColor="light1"/>
        <w:sz w:val="22"/>
      </w:rPr>
    </w:tblStylePr>
  </w:style>
  <w:style w:type="table" w:styleId="1533" w:customStyle="1">
    <w:name w:val="List Table 5 Dark - Accent 5"/>
    <w:basedOn w:val="1126"/>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left w:w="108" w:type="dxa"/>
        <w:top w:w="0" w:type="dxa"/>
        <w:right w:w="108" w:type="dxa"/>
        <w:bottom w:w="0" w:type="dxa"/>
      </w:tblCellMar>
    </w:tblPr>
    <w:tblStylePr w:type="band1Horz">
      <w:tcPr>
        <w:shd w:val="clear" w:color="92ccdc" w:fill="92ccdc" w:themeFill="accent5" w:themeFillTint="9A"/>
        <w:tcBorders>
          <w:top w:val="single" w:color="FFFFFF" w:themeColor="light1" w:sz="4" w:space="0"/>
          <w:bottom w:val="single" w:color="FFFFFF" w:themeColor="light1" w:sz="4" w:space="0"/>
        </w:tcBorders>
      </w:tcPr>
    </w:tblStylePr>
    <w:tblStylePr w:type="band1Vert">
      <w:tcPr>
        <w:shd w:val="clear" w:color="92ccdc" w:fill="92ccdc" w:themeFill="accent5" w:themeFillTint="9A"/>
        <w:tcBorders>
          <w:left w:val="single" w:color="FFFFFF" w:themeColor="light1" w:sz="4" w:space="0"/>
          <w:right w:val="single" w:color="FFFFFF" w:themeColor="light1" w:sz="4" w:space="0"/>
        </w:tcBorders>
      </w:tcPr>
    </w:tblStylePr>
    <w:tblStylePr w:type="band2Horz">
      <w:tcPr>
        <w:shd w:val="clear" w:color="92ccdc"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4BACC6" w:themeColor="accent5" w:sz="32" w:space="0"/>
          <w:right w:val="single" w:color="FFFFFF" w:themeColor="light1" w:sz="4" w:space="0"/>
        </w:tcBorders>
      </w:tcPr>
    </w:tblStylePr>
    <w:tblStylePr w:type="firstRow">
      <w:rPr>
        <w:b/>
        <w:color w:val="ffffff" w:themeColor="light1"/>
        <w:sz w:val="22"/>
      </w:rPr>
      <w:tcPr>
        <w:shd w:val="clear" w:color="92ccdc" w:fill="92ccdc" w:themeFill="accent5" w:themeFillTint="9A"/>
        <w:tcBorders>
          <w:top w:val="single" w:color="4BACC6" w:themeColor="accent5" w:sz="32" w:space="0"/>
          <w:bottom w:val="single" w:color="FFFFFF" w:themeColor="light1" w:sz="12" w:space="0"/>
        </w:tcBorders>
      </w:tcPr>
    </w:tblStylePr>
    <w:tblStylePr w:type="lastCol">
      <w:tcPr>
        <w:tcBorders>
          <w:left w:val="single" w:color="FFFFFF" w:themeColor="light1" w:sz="4" w:space="0"/>
          <w:right w:val="single" w:color="4BACC6" w:themeColor="accent5" w:sz="32" w:space="0"/>
        </w:tcBorders>
      </w:tcPr>
    </w:tblStylePr>
    <w:tblStylePr w:type="lastRow">
      <w:rPr>
        <w:b/>
        <w:color w:val="ffffff" w:themeColor="light1"/>
        <w:sz w:val="22"/>
      </w:rPr>
    </w:tblStylePr>
  </w:style>
  <w:style w:type="table" w:styleId="1534" w:customStyle="1">
    <w:name w:val="List Table 5 Dark - Accent 6"/>
    <w:basedOn w:val="1126"/>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left w:w="108" w:type="dxa"/>
        <w:top w:w="0" w:type="dxa"/>
        <w:right w:w="108" w:type="dxa"/>
        <w:bottom w:w="0" w:type="dxa"/>
      </w:tblCellMar>
    </w:tblPr>
    <w:tblStylePr w:type="band1Horz">
      <w:tcPr>
        <w:shd w:val="clear" w:color="fac090" w:fill="fac090" w:themeFill="accent6" w:themeFillTint="98"/>
        <w:tcBorders>
          <w:top w:val="single" w:color="FFFFFF" w:themeColor="light1" w:sz="4" w:space="0"/>
          <w:bottom w:val="single" w:color="FFFFFF" w:themeColor="light1" w:sz="4" w:space="0"/>
        </w:tcBorders>
      </w:tcPr>
    </w:tblStylePr>
    <w:tblStylePr w:type="band1Vert">
      <w:tcPr>
        <w:shd w:val="clear" w:color="fac090" w:fill="fac090" w:themeFill="accent6" w:themeFillTint="98"/>
        <w:tcBorders>
          <w:left w:val="single" w:color="FFFFFF" w:themeColor="light1" w:sz="4" w:space="0"/>
          <w:right w:val="single" w:color="FFFFFF" w:themeColor="light1" w:sz="4" w:space="0"/>
        </w:tcBorders>
      </w:tcPr>
    </w:tblStylePr>
    <w:tblStylePr w:type="band2Horz">
      <w:tcPr>
        <w:shd w:val="clear" w:color="fac090"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b/>
        <w:color w:val="ffffff" w:themeColor="light1"/>
        <w:sz w:val="22"/>
      </w:rPr>
      <w:tcPr>
        <w:tcBorders>
          <w:left w:val="single" w:color="F79646" w:themeColor="accent6" w:sz="32" w:space="0"/>
          <w:right w:val="single" w:color="FFFFFF" w:themeColor="light1" w:sz="4" w:space="0"/>
        </w:tcBorders>
      </w:tcPr>
    </w:tblStylePr>
    <w:tblStylePr w:type="firstRow">
      <w:rPr>
        <w:b/>
        <w:color w:val="ffffff" w:themeColor="light1"/>
        <w:sz w:val="22"/>
      </w:rPr>
      <w:tcPr>
        <w:shd w:val="clear" w:color="fac090" w:fill="fac090" w:themeFill="accent6" w:themeFillTint="98"/>
        <w:tcBorders>
          <w:top w:val="single" w:color="F79646" w:themeColor="accent6" w:sz="32" w:space="0"/>
          <w:bottom w:val="single" w:color="FFFFFF" w:themeColor="light1" w:sz="12" w:space="0"/>
        </w:tcBorders>
      </w:tcPr>
    </w:tblStylePr>
    <w:tblStylePr w:type="lastCol">
      <w:tcPr>
        <w:tcBorders>
          <w:left w:val="single" w:color="FFFFFF" w:themeColor="light1" w:sz="4" w:space="0"/>
          <w:right w:val="single" w:color="F79646" w:themeColor="accent6" w:sz="32" w:space="0"/>
        </w:tcBorders>
      </w:tcPr>
    </w:tblStylePr>
    <w:tblStylePr w:type="lastRow">
      <w:rPr>
        <w:b/>
        <w:color w:val="ffffff" w:themeColor="light1"/>
        <w:sz w:val="22"/>
      </w:rPr>
    </w:tblStylePr>
  </w:style>
  <w:style w:type="table" w:styleId="1535" w:customStyle="1">
    <w:name w:val="Список-таблица 6 цветная1"/>
    <w:basedOn w:val="1126"/>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color w:val="000000" w:themeColor="text1"/>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000000" w:themeColor="text1"/>
        <w:sz w:val="22"/>
      </w:rPr>
    </w:tblStylePr>
    <w:tblStylePr w:type="firstCol">
      <w:rPr>
        <w:b/>
        <w:color w:val="000000" w:themeColor="text1"/>
      </w:rPr>
    </w:tblStylePr>
    <w:tblStylePr w:type="firstRow">
      <w:rPr>
        <w:b/>
        <w:color w:val="000000" w:themeColor="text1"/>
      </w:rPr>
      <w:tcPr>
        <w:tcBorders>
          <w:bottom w:val="single" w:color="000000" w:themeColor="text1" w:sz="4" w:space="0"/>
        </w:tcBorders>
      </w:tcPr>
    </w:tblStylePr>
    <w:tblStylePr w:type="lastCol">
      <w:rPr>
        <w:b/>
        <w:color w:val="000000" w:themeColor="text1"/>
      </w:rPr>
    </w:tblStylePr>
    <w:tblStylePr w:type="lastRow">
      <w:rPr>
        <w:b/>
        <w:color w:val="000000" w:themeColor="text1"/>
      </w:rPr>
      <w:tcPr>
        <w:tcBorders>
          <w:top w:val="single" w:color="000000" w:themeColor="text1" w:sz="4" w:space="0"/>
        </w:tcBorders>
      </w:tcPr>
    </w:tblStylePr>
  </w:style>
  <w:style w:type="table" w:styleId="1536" w:customStyle="1">
    <w:name w:val="List Table 6 Colorful - Accent 1"/>
    <w:basedOn w:val="1126"/>
    <w:uiPriority w:val="99"/>
    <w:tblPr>
      <w:tblStyleRowBandSize w:val="1"/>
      <w:tblStyleColBandSize w:val="1"/>
      <w:tblInd w:w="0" w:type="dxa"/>
      <w:tblBorders>
        <w:top w:val="single" w:color="4F81BD" w:themeColor="accent1" w:sz="4" w:space="0"/>
        <w:bottom w:val="single" w:color="4F81BD" w:themeColor="accent1" w:sz="4" w:space="0"/>
      </w:tblBorders>
      <w:tblCellMar>
        <w:left w:w="108" w:type="dxa"/>
        <w:top w:w="0" w:type="dxa"/>
        <w:right w:w="108" w:type="dxa"/>
        <w:bottom w:w="0" w:type="dxa"/>
      </w:tblCellMar>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1537" w:customStyle="1">
    <w:name w:val="List Table 6 Colorful - Accent 2"/>
    <w:basedOn w:val="1126"/>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108" w:type="dxa"/>
        <w:top w:w="0" w:type="dxa"/>
        <w:right w:w="108" w:type="dxa"/>
        <w:bottom w:w="0" w:type="dxa"/>
      </w:tblCellMar>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C0504D" w:themeColor="accent2"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C0504D" w:themeColor="accent2" w:sz="4" w:space="0"/>
        </w:tcBorders>
      </w:tcPr>
    </w:tblStylePr>
  </w:style>
  <w:style w:type="table" w:styleId="1538" w:customStyle="1">
    <w:name w:val="List Table 6 Colorful - Accent 3"/>
    <w:basedOn w:val="1126"/>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108" w:type="dxa"/>
        <w:top w:w="0" w:type="dxa"/>
        <w:right w:w="108" w:type="dxa"/>
        <w:bottom w:w="0" w:type="dxa"/>
      </w:tblCellMar>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9BBB59" w:themeColor="accent3"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9BBB59" w:themeColor="accent3" w:sz="4" w:space="0"/>
        </w:tcBorders>
      </w:tcPr>
    </w:tblStylePr>
  </w:style>
  <w:style w:type="table" w:styleId="1539" w:customStyle="1">
    <w:name w:val="List Table 6 Colorful - Accent 4"/>
    <w:basedOn w:val="1126"/>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108" w:type="dxa"/>
        <w:top w:w="0" w:type="dxa"/>
        <w:right w:w="108" w:type="dxa"/>
        <w:bottom w:w="0" w:type="dxa"/>
      </w:tblCellMar>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8064A2" w:themeColor="accent4"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8064A2" w:themeColor="accent4" w:sz="4" w:space="0"/>
        </w:tcBorders>
      </w:tcPr>
    </w:tblStylePr>
  </w:style>
  <w:style w:type="table" w:styleId="1540" w:customStyle="1">
    <w:name w:val="List Table 6 Colorful - Accent 5"/>
    <w:basedOn w:val="1126"/>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108" w:type="dxa"/>
        <w:top w:w="0" w:type="dxa"/>
        <w:right w:w="108" w:type="dxa"/>
        <w:bottom w:w="0" w:type="dxa"/>
      </w:tblCellMar>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4BACC6" w:themeColor="accent5"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4BACC6" w:themeColor="accent5" w:sz="4" w:space="0"/>
        </w:tcBorders>
      </w:tcPr>
    </w:tblStylePr>
  </w:style>
  <w:style w:type="table" w:styleId="1541" w:customStyle="1">
    <w:name w:val="List Table 6 Colorful - Accent 6"/>
    <w:basedOn w:val="1126"/>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108" w:type="dxa"/>
        <w:top w:w="0" w:type="dxa"/>
        <w:right w:w="108" w:type="dxa"/>
        <w:bottom w:w="0" w:type="dxa"/>
      </w:tblCellMar>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79646" w:themeColor="accent6"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79646" w:themeColor="accent6" w:sz="4" w:space="0"/>
        </w:tcBorders>
      </w:tcPr>
    </w:tblStylePr>
  </w:style>
  <w:style w:type="table" w:styleId="1542" w:customStyle="1">
    <w:name w:val="Список-таблица 7 цветная1"/>
    <w:basedOn w:val="1126"/>
    <w:uiPriority w:val="99"/>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color w:val="7f7f7f" w:themeColor="text1" w:themeTint="80" w:themeShade="95"/>
        <w:sz w:val="22"/>
      </w:rPr>
      <w:tcPr>
        <w:shd w:val="clear" w:color="bfbfbf" w:fill="bfbfbf" w:themeFill="text1" w:themeFillTint="40"/>
      </w:tcPr>
    </w:tblStylePr>
    <w:tblStylePr w:type="band1Vert">
      <w:tcPr>
        <w:shd w:val="clear" w:color="bfbfbf" w:fill="bfbfbf" w:themeFill="text1" w:themeFillTint="40"/>
      </w:tcPr>
    </w:tblStylePr>
    <w:tblStylePr w:type="band2Horz">
      <w:rPr>
        <w:color w:val="7f7f7f" w:themeColor="text1" w:themeTint="80" w:themeShade="95"/>
        <w:sz w:val="22"/>
      </w:rPr>
    </w:tblStylePr>
    <w:tblStylePr w:type="firstCol">
      <w:rPr>
        <w:i/>
        <w:color w:val="7f7f7f" w:themeColor="text1" w:themeTint="80" w:themeShade="95"/>
        <w:sz w:val="22"/>
      </w:rPr>
      <w:pPr>
        <w:jc w:val="right"/>
      </w:pPr>
      <w:tcPr>
        <w:shd w:val="clear" w:color="ffffff" w:fill="auto"/>
        <w:tcBorders>
          <w:top w:val="none" w:color="000000" w:sz="0" w:space="0"/>
          <w:left w:val="none" w:color="000000" w:sz="0" w:space="0"/>
          <w:bottom w:val="none" w:color="000000" w:sz="0" w:space="0"/>
          <w:right w:val="single" w:color="000000" w:themeColor="text1" w:sz="4" w:space="0"/>
        </w:tcBorders>
      </w:tcPr>
    </w:tblStylePr>
    <w:tblStylePr w:type="firstRow">
      <w:rPr>
        <w:i/>
        <w:color w:val="7f7f7f" w:themeColor="text1" w:themeTint="80" w:themeShade="95"/>
        <w:sz w:val="22"/>
      </w:rPr>
      <w:tcPr>
        <w:shd w:val="clear" w:color="ffffff" w:fill="ffffff" w:themeFill="light1"/>
        <w:tcBorders>
          <w:top w:val="none" w:color="000000" w:sz="0" w:space="0"/>
          <w:left w:val="none" w:color="000000" w:sz="0" w:space="0"/>
          <w:bottom w:val="single" w:color="000000" w:themeColor="text1" w:sz="4" w:space="0"/>
          <w:right w:val="none" w:color="000000" w:sz="0" w:space="0"/>
        </w:tcBorders>
      </w:tcPr>
    </w:tblStylePr>
    <w:tblStylePr w:type="lastCol">
      <w:rPr>
        <w:i/>
        <w:color w:val="7f7f7f" w:themeColor="text1" w:themeTint="80" w:themeShade="95"/>
        <w:sz w:val="22"/>
      </w:rPr>
      <w:tcPr>
        <w:shd w:val="clear" w:color="ffffff" w:fill="auto"/>
        <w:tcBorders>
          <w:top w:val="none" w:color="000000" w:sz="0" w:space="0"/>
          <w:left w:val="single" w:color="000000" w:themeColor="text1" w:sz="4" w:space="0"/>
          <w:bottom w:val="none" w:color="000000" w:sz="0" w:space="0"/>
          <w:right w:val="none" w:color="000000" w:sz="0" w:space="0"/>
        </w:tcBorders>
      </w:tcPr>
    </w:tblStylePr>
    <w:tblStylePr w:type="lastRow">
      <w:rPr>
        <w:i/>
        <w:color w:val="7f7f7f" w:themeColor="text1" w:themeTint="80" w:themeShade="95"/>
        <w:sz w:val="22"/>
      </w:rPr>
      <w:tcPr>
        <w:shd w:val="clear" w:color="ffffff" w:fill="ffffff" w:themeFill="light1"/>
        <w:tcBorders>
          <w:top w:val="single" w:color="000000" w:themeColor="text1" w:sz="4" w:space="0"/>
          <w:left w:val="none" w:color="000000" w:sz="0" w:space="0"/>
          <w:bottom w:val="none" w:color="000000" w:sz="0" w:space="0"/>
          <w:right w:val="none" w:color="000000" w:sz="0" w:space="0"/>
        </w:tcBorders>
      </w:tcPr>
    </w:tblStylePr>
  </w:style>
  <w:style w:type="table" w:styleId="1543" w:customStyle="1">
    <w:name w:val="List Table 7 Colorful - Accent 1"/>
    <w:basedOn w:val="1126"/>
    <w:uiPriority w:val="99"/>
    <w:tblPr>
      <w:tblStyleRowBandSize w:val="1"/>
      <w:tblStyleColBandSize w:val="1"/>
      <w:tblInd w:w="0" w:type="dxa"/>
      <w:tblBorders>
        <w:right w:val="single" w:color="4F81BD" w:themeColor="accent1" w:sz="4" w:space="0"/>
      </w:tblBorders>
      <w:tblCellMar>
        <w:left w:w="108" w:type="dxa"/>
        <w:top w:w="0" w:type="dxa"/>
        <w:right w:w="108" w:type="dxa"/>
        <w:bottom w:w="0" w:type="dxa"/>
      </w:tblCellMar>
    </w:tblPr>
    <w:tblStylePr w:type="band1Horz">
      <w:rPr>
        <w:color w:val="2a4a71" w:themeColor="accent1" w:themeShade="95"/>
        <w:sz w:val="22"/>
      </w:rPr>
      <w:tcPr>
        <w:shd w:val="clear" w:color="d2dfee" w:fill="d2dfee" w:themeFill="accent1" w:themeFillTint="40"/>
      </w:tcPr>
    </w:tblStylePr>
    <w:tblStylePr w:type="band1Vert">
      <w:tcPr>
        <w:shd w:val="clear" w:color="d2dfee" w:fill="d2dfee" w:themeFill="accent1" w:themeFillTint="40"/>
      </w:tcPr>
    </w:tblStylePr>
    <w:tblStylePr w:type="band2Horz">
      <w:rPr>
        <w:color w:val="2a4a71" w:themeColor="accent1" w:themeShade="95"/>
        <w:sz w:val="22"/>
      </w:rPr>
    </w:tblStylePr>
    <w:tblStylePr w:type="firstCol">
      <w:rPr>
        <w:i/>
        <w:color w:val="2a4a71" w:themeColor="accent1" w:themeShade="95"/>
        <w:sz w:val="22"/>
      </w:rPr>
      <w:pPr>
        <w:jc w:val="right"/>
      </w:pPr>
      <w:tcPr>
        <w:shd w:val="clear" w:color="ffffff" w:fill="auto"/>
        <w:tcBorders>
          <w:top w:val="none" w:color="000000" w:sz="0" w:space="0"/>
          <w:left w:val="none" w:color="000000" w:sz="0" w:space="0"/>
          <w:bottom w:val="none" w:color="000000" w:sz="0" w:space="0"/>
          <w:right w:val="single" w:color="4F81BD" w:themeColor="accent1" w:sz="4" w:space="0"/>
        </w:tcBorders>
      </w:tcPr>
    </w:tblStylePr>
    <w:tblStylePr w:type="firstRow">
      <w:rPr>
        <w:i/>
        <w:color w:val="2a4a71" w:themeColor="accent1" w:themeShade="95"/>
        <w:sz w:val="22"/>
      </w:rPr>
      <w:tcPr>
        <w:shd w:val="clear" w:color="ffffff" w:fill="ffffff" w:themeFill="light1"/>
        <w:tcBorders>
          <w:top w:val="none" w:color="000000" w:sz="0" w:space="0"/>
          <w:left w:val="none" w:color="000000" w:sz="0" w:space="0"/>
          <w:bottom w:val="single" w:color="4F81BD" w:themeColor="accent1" w:sz="4" w:space="0"/>
          <w:right w:val="none" w:color="000000" w:sz="0" w:space="0"/>
        </w:tcBorders>
      </w:tcPr>
    </w:tblStylePr>
    <w:tblStylePr w:type="lastCol">
      <w:rPr>
        <w:i/>
        <w:color w:val="2a4a71" w:themeColor="accent1" w:themeShade="95"/>
        <w:sz w:val="22"/>
      </w:rPr>
      <w:tcPr>
        <w:shd w:val="clear" w:color="ffffff" w:fill="auto"/>
        <w:tcBorders>
          <w:top w:val="none" w:color="000000" w:sz="0" w:space="0"/>
          <w:left w:val="single" w:color="4F81BD" w:themeColor="accent1" w:sz="4" w:space="0"/>
          <w:bottom w:val="none" w:color="000000" w:sz="0" w:space="0"/>
          <w:right w:val="none" w:color="000000" w:sz="0" w:space="0"/>
        </w:tcBorders>
      </w:tcPr>
    </w:tblStylePr>
    <w:tblStylePr w:type="lastRow">
      <w:rPr>
        <w:i/>
        <w:color w:val="2a4a71" w:themeColor="accent1" w:themeShade="95"/>
        <w:sz w:val="22"/>
      </w:rPr>
      <w:tcPr>
        <w:shd w:val="clear" w:color="ffffff" w:fill="ffffff" w:themeFill="light1"/>
        <w:tcBorders>
          <w:top w:val="single" w:color="4F81BD" w:themeColor="accent1" w:sz="4" w:space="0"/>
          <w:left w:val="none" w:color="000000" w:sz="0" w:space="0"/>
          <w:bottom w:val="none" w:color="000000" w:sz="0" w:space="0"/>
          <w:right w:val="none" w:color="000000" w:sz="0" w:space="0"/>
        </w:tcBorders>
      </w:tcPr>
    </w:tblStylePr>
  </w:style>
  <w:style w:type="table" w:styleId="1544" w:customStyle="1">
    <w:name w:val="List Table 7 Colorful - Accent 2"/>
    <w:basedOn w:val="1126"/>
    <w:uiPriority w:val="99"/>
    <w:tblPr>
      <w:tblStyleRowBandSize w:val="1"/>
      <w:tblStyleColBandSize w:val="1"/>
      <w:tblInd w:w="0" w:type="dxa"/>
      <w:tblBorders>
        <w:right w:val="single" w:color="D99695" w:themeColor="accent2" w:themeTint="97" w:sz="4" w:space="0"/>
      </w:tblBorders>
      <w:tblCellMar>
        <w:left w:w="108" w:type="dxa"/>
        <w:top w:w="0" w:type="dxa"/>
        <w:right w:w="108" w:type="dxa"/>
        <w:bottom w:w="0" w:type="dxa"/>
      </w:tblCellMar>
    </w:tblPr>
    <w:tblStylePr w:type="band1Horz">
      <w:rPr>
        <w:color w:val="d99695" w:themeColor="accent2" w:themeTint="97" w:themeShade="95"/>
        <w:sz w:val="22"/>
      </w:rPr>
      <w:tcPr>
        <w:shd w:val="clear" w:color="efd2d2" w:fill="efd2d2" w:themeFill="accent2" w:themeFillTint="40"/>
      </w:tcPr>
    </w:tblStylePr>
    <w:tblStylePr w:type="band1Vert">
      <w:tcPr>
        <w:shd w:val="clear" w:color="efd2d2" w:fill="efd2d2" w:themeFill="accent2" w:themeFillTint="40"/>
      </w:tcPr>
    </w:tblStylePr>
    <w:tblStylePr w:type="band2Horz">
      <w:rPr>
        <w:color w:val="d99695" w:themeColor="accent2" w:themeTint="97" w:themeShade="95"/>
        <w:sz w:val="22"/>
      </w:rPr>
    </w:tblStylePr>
    <w:tblStylePr w:type="firstCol">
      <w:rPr>
        <w:i/>
        <w:color w:val="d99695" w:themeColor="accent2" w:themeTint="97" w:themeShade="95"/>
        <w:sz w:val="22"/>
      </w:rPr>
      <w:pPr>
        <w:jc w:val="right"/>
      </w:pPr>
      <w:tcPr>
        <w:shd w:val="clear" w:color="ffffff" w:fill="auto"/>
        <w:tcBorders>
          <w:top w:val="none" w:color="000000" w:sz="0" w:space="0"/>
          <w:left w:val="none" w:color="000000" w:sz="0" w:space="0"/>
          <w:bottom w:val="none" w:color="000000" w:sz="0" w:space="0"/>
          <w:right w:val="single" w:color="C0504D" w:themeColor="accent2" w:sz="4" w:space="0"/>
        </w:tcBorders>
      </w:tcPr>
    </w:tblStylePr>
    <w:tblStylePr w:type="firstRow">
      <w:rPr>
        <w:i/>
        <w:color w:val="d99695" w:themeColor="accent2" w:themeTint="97" w:themeShade="95"/>
        <w:sz w:val="22"/>
      </w:rPr>
      <w:tcPr>
        <w:shd w:val="clear" w:color="ffffff" w:fill="ffffff" w:themeFill="light1"/>
        <w:tcBorders>
          <w:top w:val="none" w:color="000000" w:sz="0" w:space="0"/>
          <w:left w:val="none" w:color="000000" w:sz="0" w:space="0"/>
          <w:bottom w:val="single" w:color="C0504D" w:themeColor="accent2" w:sz="4" w:space="0"/>
          <w:right w:val="none" w:color="000000" w:sz="0" w:space="0"/>
        </w:tcBorders>
      </w:tcPr>
    </w:tblStylePr>
    <w:tblStylePr w:type="lastCol">
      <w:rPr>
        <w:i/>
        <w:color w:val="d99695" w:themeColor="accent2" w:themeTint="97" w:themeShade="95"/>
        <w:sz w:val="22"/>
      </w:rPr>
      <w:tcPr>
        <w:shd w:val="clear" w:color="ffffff" w:fill="auto"/>
        <w:tcBorders>
          <w:top w:val="none" w:color="000000" w:sz="0" w:space="0"/>
          <w:left w:val="single" w:color="C0504D" w:themeColor="accent2" w:sz="4" w:space="0"/>
          <w:bottom w:val="none" w:color="000000" w:sz="0" w:space="0"/>
          <w:right w:val="none" w:color="000000" w:sz="0" w:space="0"/>
        </w:tcBorders>
      </w:tcPr>
    </w:tblStylePr>
    <w:tblStylePr w:type="lastRow">
      <w:rPr>
        <w:i/>
        <w:color w:val="d99695" w:themeColor="accent2" w:themeTint="97" w:themeShade="95"/>
        <w:sz w:val="22"/>
      </w:rPr>
      <w:tcPr>
        <w:shd w:val="clear" w:color="ffffff" w:fill="ffffff" w:themeFill="light1"/>
        <w:tcBorders>
          <w:top w:val="single" w:color="C0504D" w:themeColor="accent2" w:sz="4" w:space="0"/>
          <w:left w:val="none" w:color="000000" w:sz="0" w:space="0"/>
          <w:bottom w:val="none" w:color="000000" w:sz="0" w:space="0"/>
          <w:right w:val="none" w:color="000000" w:sz="0" w:space="0"/>
        </w:tcBorders>
      </w:tcPr>
    </w:tblStylePr>
  </w:style>
  <w:style w:type="table" w:styleId="1545" w:customStyle="1">
    <w:name w:val="List Table 7 Colorful - Accent 3"/>
    <w:basedOn w:val="1126"/>
    <w:uiPriority w:val="99"/>
    <w:tblPr>
      <w:tblStyleRowBandSize w:val="1"/>
      <w:tblStyleColBandSize w:val="1"/>
      <w:tblInd w:w="0" w:type="dxa"/>
      <w:tblBorders>
        <w:right w:val="single" w:color="C3D69B" w:themeColor="accent3" w:themeTint="98" w:sz="4" w:space="0"/>
      </w:tblBorders>
      <w:tblCellMar>
        <w:left w:w="108" w:type="dxa"/>
        <w:top w:w="0" w:type="dxa"/>
        <w:right w:w="108" w:type="dxa"/>
        <w:bottom w:w="0" w:type="dxa"/>
      </w:tblCellMar>
    </w:tblPr>
    <w:tblStylePr w:type="band1Horz">
      <w:rPr>
        <w:color w:val="c3d69b" w:themeColor="accent3" w:themeTint="98" w:themeShade="95"/>
        <w:sz w:val="22"/>
      </w:rPr>
      <w:tcPr>
        <w:shd w:val="clear" w:color="e5eed5" w:fill="e5eed5" w:themeFill="accent3" w:themeFillTint="40"/>
      </w:tcPr>
    </w:tblStylePr>
    <w:tblStylePr w:type="band1Vert">
      <w:tcPr>
        <w:shd w:val="clear" w:color="e5eed5" w:fill="e5eed5" w:themeFill="accent3" w:themeFillTint="40"/>
      </w:tcPr>
    </w:tblStylePr>
    <w:tblStylePr w:type="band2Horz">
      <w:rPr>
        <w:color w:val="c3d69b" w:themeColor="accent3" w:themeTint="98" w:themeShade="95"/>
        <w:sz w:val="22"/>
      </w:rPr>
    </w:tblStylePr>
    <w:tblStylePr w:type="firstCol">
      <w:rPr>
        <w:i/>
        <w:color w:val="c3d69b" w:themeColor="accent3" w:themeTint="98" w:themeShade="95"/>
        <w:sz w:val="22"/>
      </w:rPr>
      <w:pPr>
        <w:jc w:val="right"/>
      </w:pPr>
      <w:tcPr>
        <w:shd w:val="clear" w:color="ffffff" w:fill="auto"/>
        <w:tcBorders>
          <w:top w:val="none" w:color="000000" w:sz="0" w:space="0"/>
          <w:left w:val="none" w:color="000000" w:sz="0" w:space="0"/>
          <w:bottom w:val="none" w:color="000000" w:sz="0" w:space="0"/>
          <w:right w:val="single" w:color="9BBB59" w:themeColor="accent3" w:sz="4" w:space="0"/>
        </w:tcBorders>
      </w:tcPr>
    </w:tblStylePr>
    <w:tblStylePr w:type="firstRow">
      <w:rPr>
        <w:i/>
        <w:color w:val="c3d69b" w:themeColor="accent3" w:themeTint="98" w:themeShade="95"/>
        <w:sz w:val="22"/>
      </w:rPr>
      <w:tcPr>
        <w:shd w:val="clear" w:color="ffffff" w:fill="ffffff" w:themeFill="light1"/>
        <w:tcBorders>
          <w:top w:val="none" w:color="000000" w:sz="0" w:space="0"/>
          <w:left w:val="none" w:color="000000" w:sz="0" w:space="0"/>
          <w:bottom w:val="single" w:color="9BBB59" w:themeColor="accent3" w:sz="4" w:space="0"/>
          <w:right w:val="none" w:color="000000" w:sz="0" w:space="0"/>
        </w:tcBorders>
      </w:tcPr>
    </w:tblStylePr>
    <w:tblStylePr w:type="lastCol">
      <w:rPr>
        <w:i/>
        <w:color w:val="c3d69b" w:themeColor="accent3" w:themeTint="98" w:themeShade="95"/>
        <w:sz w:val="22"/>
      </w:rPr>
      <w:tcPr>
        <w:shd w:val="clear" w:color="ffffff" w:fill="auto"/>
        <w:tcBorders>
          <w:top w:val="none" w:color="000000" w:sz="0" w:space="0"/>
          <w:left w:val="single" w:color="9BBB59" w:themeColor="accent3" w:sz="4" w:space="0"/>
          <w:bottom w:val="none" w:color="000000" w:sz="0" w:space="0"/>
          <w:right w:val="none" w:color="000000" w:sz="0" w:space="0"/>
        </w:tcBorders>
      </w:tcPr>
    </w:tblStylePr>
    <w:tblStylePr w:type="lastRow">
      <w:rPr>
        <w:i/>
        <w:color w:val="c3d69b" w:themeColor="accent3" w:themeTint="98" w:themeShade="95"/>
        <w:sz w:val="22"/>
      </w:rPr>
      <w:tcPr>
        <w:shd w:val="clear" w:color="ffffff" w:fill="ffffff" w:themeFill="light1"/>
        <w:tcBorders>
          <w:top w:val="single" w:color="9BBB59" w:themeColor="accent3" w:sz="4" w:space="0"/>
          <w:left w:val="none" w:color="000000" w:sz="0" w:space="0"/>
          <w:bottom w:val="none" w:color="000000" w:sz="0" w:space="0"/>
          <w:right w:val="none" w:color="000000" w:sz="0" w:space="0"/>
        </w:tcBorders>
      </w:tcPr>
    </w:tblStylePr>
  </w:style>
  <w:style w:type="table" w:styleId="1546" w:customStyle="1">
    <w:name w:val="List Table 7 Colorful - Accent 4"/>
    <w:basedOn w:val="1126"/>
    <w:uiPriority w:val="99"/>
    <w:tblPr>
      <w:tblStyleRowBandSize w:val="1"/>
      <w:tblStyleColBandSize w:val="1"/>
      <w:tblInd w:w="0" w:type="dxa"/>
      <w:tblBorders>
        <w:right w:val="single" w:color="B2A1C6" w:themeColor="accent4" w:themeTint="9A" w:sz="4" w:space="0"/>
      </w:tblBorders>
      <w:tblCellMar>
        <w:left w:w="108" w:type="dxa"/>
        <w:top w:w="0" w:type="dxa"/>
        <w:right w:w="108" w:type="dxa"/>
        <w:bottom w:w="0" w:type="dxa"/>
      </w:tblCellMar>
    </w:tblPr>
    <w:tblStylePr w:type="band1Horz">
      <w:rPr>
        <w:color w:val="b2a1c6" w:themeColor="accent4" w:themeTint="9A" w:themeShade="95"/>
        <w:sz w:val="22"/>
      </w:rPr>
      <w:tcPr>
        <w:shd w:val="clear" w:color="dfd8e7" w:fill="dfd8e7" w:themeFill="accent4" w:themeFillTint="40"/>
      </w:tcPr>
    </w:tblStylePr>
    <w:tblStylePr w:type="band1Vert">
      <w:tcPr>
        <w:shd w:val="clear" w:color="dfd8e7" w:fill="dfd8e7" w:themeFill="accent4" w:themeFillTint="40"/>
      </w:tcPr>
    </w:tblStylePr>
    <w:tblStylePr w:type="band2Horz">
      <w:rPr>
        <w:color w:val="b2a1c6" w:themeColor="accent4" w:themeTint="9A" w:themeShade="95"/>
        <w:sz w:val="22"/>
      </w:rPr>
    </w:tblStylePr>
    <w:tblStylePr w:type="firstCol">
      <w:rPr>
        <w:i/>
        <w:color w:val="b2a1c6" w:themeColor="accent4" w:themeTint="9A" w:themeShade="95"/>
        <w:sz w:val="22"/>
      </w:rPr>
      <w:pPr>
        <w:jc w:val="right"/>
      </w:pPr>
      <w:tcPr>
        <w:shd w:val="clear" w:color="ffffff" w:fill="auto"/>
        <w:tcBorders>
          <w:top w:val="none" w:color="000000" w:sz="0" w:space="0"/>
          <w:left w:val="none" w:color="000000" w:sz="0" w:space="0"/>
          <w:bottom w:val="none" w:color="000000" w:sz="0" w:space="0"/>
          <w:right w:val="single" w:color="8064A2" w:themeColor="accent4" w:sz="4" w:space="0"/>
        </w:tcBorders>
      </w:tcPr>
    </w:tblStylePr>
    <w:tblStylePr w:type="firstRow">
      <w:rPr>
        <w:i/>
        <w:color w:val="b2a1c6" w:themeColor="accent4" w:themeTint="9A" w:themeShade="95"/>
        <w:sz w:val="22"/>
      </w:rPr>
      <w:tcPr>
        <w:shd w:val="clear" w:color="ffffff" w:fill="ffffff" w:themeFill="light1"/>
        <w:tcBorders>
          <w:top w:val="none" w:color="000000" w:sz="0" w:space="0"/>
          <w:left w:val="none" w:color="000000" w:sz="0" w:space="0"/>
          <w:bottom w:val="single" w:color="8064A2" w:themeColor="accent4" w:sz="4" w:space="0"/>
          <w:right w:val="none" w:color="000000" w:sz="0" w:space="0"/>
        </w:tcBorders>
      </w:tcPr>
    </w:tblStylePr>
    <w:tblStylePr w:type="lastCol">
      <w:rPr>
        <w:i/>
        <w:color w:val="b2a1c6" w:themeColor="accent4" w:themeTint="9A" w:themeShade="95"/>
        <w:sz w:val="22"/>
      </w:rPr>
      <w:tcPr>
        <w:shd w:val="clear" w:color="ffffff" w:fill="auto"/>
        <w:tcBorders>
          <w:top w:val="none" w:color="000000" w:sz="0" w:space="0"/>
          <w:left w:val="single" w:color="8064A2" w:themeColor="accent4" w:sz="4" w:space="0"/>
          <w:bottom w:val="none" w:color="000000" w:sz="0" w:space="0"/>
          <w:right w:val="none" w:color="000000" w:sz="0" w:space="0"/>
        </w:tcBorders>
      </w:tcPr>
    </w:tblStylePr>
    <w:tblStylePr w:type="lastRow">
      <w:rPr>
        <w:i/>
        <w:color w:val="b2a1c6" w:themeColor="accent4" w:themeTint="9A" w:themeShade="95"/>
        <w:sz w:val="22"/>
      </w:rPr>
      <w:tcPr>
        <w:shd w:val="clear" w:color="ffffff" w:fill="ffffff" w:themeFill="light1"/>
        <w:tcBorders>
          <w:top w:val="single" w:color="8064A2" w:themeColor="accent4" w:sz="4" w:space="0"/>
          <w:left w:val="none" w:color="000000" w:sz="0" w:space="0"/>
          <w:bottom w:val="none" w:color="000000" w:sz="0" w:space="0"/>
          <w:right w:val="none" w:color="000000" w:sz="0" w:space="0"/>
        </w:tcBorders>
      </w:tcPr>
    </w:tblStylePr>
  </w:style>
  <w:style w:type="table" w:styleId="1547" w:customStyle="1">
    <w:name w:val="List Table 7 Colorful - Accent 5"/>
    <w:basedOn w:val="1126"/>
    <w:uiPriority w:val="99"/>
    <w:tblPr>
      <w:tblStyleRowBandSize w:val="1"/>
      <w:tblStyleColBandSize w:val="1"/>
      <w:tblInd w:w="0" w:type="dxa"/>
      <w:tblBorders>
        <w:right w:val="single" w:color="92CCDC" w:themeColor="accent5" w:themeTint="9A" w:sz="4" w:space="0"/>
      </w:tblBorders>
      <w:tblCellMar>
        <w:left w:w="108" w:type="dxa"/>
        <w:top w:w="0" w:type="dxa"/>
        <w:right w:w="108" w:type="dxa"/>
        <w:bottom w:w="0" w:type="dxa"/>
      </w:tblCellMar>
    </w:tblPr>
    <w:tblStylePr w:type="band1Horz">
      <w:rPr>
        <w:color w:val="92ccdc" w:themeColor="accent5" w:themeTint="9A" w:themeShade="95"/>
        <w:sz w:val="22"/>
      </w:rPr>
      <w:tcPr>
        <w:shd w:val="clear" w:color="d1eaf0" w:fill="d1eaf0" w:themeFill="accent5" w:themeFillTint="40"/>
      </w:tcPr>
    </w:tblStylePr>
    <w:tblStylePr w:type="band1Vert">
      <w:tcPr>
        <w:shd w:val="clear" w:color="d1eaf0" w:fill="d1eaf0" w:themeFill="accent5" w:themeFillTint="40"/>
      </w:tcPr>
    </w:tblStylePr>
    <w:tblStylePr w:type="band2Horz">
      <w:rPr>
        <w:color w:val="92ccdc" w:themeColor="accent5" w:themeTint="9A" w:themeShade="95"/>
        <w:sz w:val="22"/>
      </w:rPr>
    </w:tblStylePr>
    <w:tblStylePr w:type="firstCol">
      <w:rPr>
        <w:i/>
        <w:color w:val="92ccdc" w:themeColor="accent5" w:themeTint="9A" w:themeShade="95"/>
        <w:sz w:val="22"/>
      </w:rPr>
      <w:pPr>
        <w:jc w:val="right"/>
      </w:pPr>
      <w:tcPr>
        <w:shd w:val="clear" w:color="ffffff" w:fill="auto"/>
        <w:tcBorders>
          <w:top w:val="none" w:color="000000" w:sz="0" w:space="0"/>
          <w:left w:val="none" w:color="000000" w:sz="0" w:space="0"/>
          <w:bottom w:val="none" w:color="000000" w:sz="0" w:space="0"/>
          <w:right w:val="single" w:color="4BACC6" w:themeColor="accent5" w:sz="4" w:space="0"/>
        </w:tcBorders>
      </w:tcPr>
    </w:tblStylePr>
    <w:tblStylePr w:type="firstRow">
      <w:rPr>
        <w:i/>
        <w:color w:val="92ccdc" w:themeColor="accent5" w:themeTint="9A" w:themeShade="95"/>
        <w:sz w:val="22"/>
      </w:rPr>
      <w:tcPr>
        <w:shd w:val="clear" w:color="ffffff" w:fill="ffffff" w:themeFill="light1"/>
        <w:tcBorders>
          <w:top w:val="none" w:color="000000" w:sz="0" w:space="0"/>
          <w:left w:val="none" w:color="000000" w:sz="0" w:space="0"/>
          <w:bottom w:val="single" w:color="4BACC6" w:themeColor="accent5" w:sz="4" w:space="0"/>
          <w:right w:val="none" w:color="000000" w:sz="0" w:space="0"/>
        </w:tcBorders>
      </w:tcPr>
    </w:tblStylePr>
    <w:tblStylePr w:type="lastCol">
      <w:rPr>
        <w:i/>
        <w:color w:val="92ccdc" w:themeColor="accent5" w:themeTint="9A" w:themeShade="95"/>
        <w:sz w:val="22"/>
      </w:rPr>
      <w:tcPr>
        <w:shd w:val="clear" w:color="ffffff" w:fill="auto"/>
        <w:tcBorders>
          <w:top w:val="none" w:color="000000" w:sz="0" w:space="0"/>
          <w:left w:val="single" w:color="4BACC6" w:themeColor="accent5" w:sz="4" w:space="0"/>
          <w:bottom w:val="none" w:color="000000" w:sz="0" w:space="0"/>
          <w:right w:val="none" w:color="000000" w:sz="0" w:space="0"/>
        </w:tcBorders>
      </w:tcPr>
    </w:tblStylePr>
    <w:tblStylePr w:type="lastRow">
      <w:rPr>
        <w:i/>
        <w:color w:val="92ccdc" w:themeColor="accent5" w:themeTint="9A" w:themeShade="95"/>
        <w:sz w:val="22"/>
      </w:rPr>
      <w:tcPr>
        <w:shd w:val="clear" w:color="ffffff" w:fill="ffffff" w:themeFill="light1"/>
        <w:tcBorders>
          <w:top w:val="single" w:color="4BACC6" w:themeColor="accent5" w:sz="4" w:space="0"/>
          <w:left w:val="none" w:color="000000" w:sz="0" w:space="0"/>
          <w:bottom w:val="none" w:color="000000" w:sz="0" w:space="0"/>
          <w:right w:val="none" w:color="000000" w:sz="0" w:space="0"/>
        </w:tcBorders>
      </w:tcPr>
    </w:tblStylePr>
  </w:style>
  <w:style w:type="table" w:styleId="1548" w:customStyle="1">
    <w:name w:val="List Table 7 Colorful - Accent 6"/>
    <w:basedOn w:val="1126"/>
    <w:uiPriority w:val="99"/>
    <w:tblPr>
      <w:tblStyleRowBandSize w:val="1"/>
      <w:tblStyleColBandSize w:val="1"/>
      <w:tblInd w:w="0" w:type="dxa"/>
      <w:tblBorders>
        <w:right w:val="single" w:color="FAC090" w:themeColor="accent6" w:themeTint="98" w:sz="4" w:space="0"/>
      </w:tblBorders>
      <w:tblCellMar>
        <w:left w:w="108" w:type="dxa"/>
        <w:top w:w="0" w:type="dxa"/>
        <w:right w:w="108" w:type="dxa"/>
        <w:bottom w:w="0" w:type="dxa"/>
      </w:tblCellMar>
    </w:tblPr>
    <w:tblStylePr w:type="band1Horz">
      <w:rPr>
        <w:color w:val="fac090" w:themeColor="accent6" w:themeTint="98" w:themeShade="95"/>
        <w:sz w:val="22"/>
      </w:rPr>
      <w:tcPr>
        <w:shd w:val="clear" w:color="fde4d0" w:fill="fde4d0" w:themeFill="accent6" w:themeFillTint="40"/>
      </w:tcPr>
    </w:tblStylePr>
    <w:tblStylePr w:type="band1Vert">
      <w:tcPr>
        <w:shd w:val="clear" w:color="fde4d0" w:fill="fde4d0" w:themeFill="accent6" w:themeFillTint="40"/>
      </w:tcPr>
    </w:tblStylePr>
    <w:tblStylePr w:type="band2Horz">
      <w:rPr>
        <w:color w:val="fac090" w:themeColor="accent6" w:themeTint="98" w:themeShade="95"/>
        <w:sz w:val="22"/>
      </w:rPr>
    </w:tblStylePr>
    <w:tblStylePr w:type="firstCol">
      <w:rPr>
        <w:i/>
        <w:color w:val="fac090" w:themeColor="accent6" w:themeTint="98" w:themeShade="95"/>
        <w:sz w:val="22"/>
      </w:rPr>
      <w:pPr>
        <w:jc w:val="right"/>
      </w:pPr>
      <w:tcPr>
        <w:shd w:val="clear" w:color="ffffff" w:fill="auto"/>
        <w:tcBorders>
          <w:top w:val="none" w:color="000000" w:sz="0" w:space="0"/>
          <w:left w:val="none" w:color="000000" w:sz="0" w:space="0"/>
          <w:bottom w:val="none" w:color="000000" w:sz="0" w:space="0"/>
          <w:right w:val="single" w:color="F79646" w:themeColor="accent6" w:sz="4" w:space="0"/>
        </w:tcBorders>
      </w:tcPr>
    </w:tblStylePr>
    <w:tblStylePr w:type="firstRow">
      <w:rPr>
        <w:i/>
        <w:color w:val="fac090" w:themeColor="accent6" w:themeTint="98" w:themeShade="95"/>
        <w:sz w:val="22"/>
      </w:rPr>
      <w:tcPr>
        <w:shd w:val="clear" w:color="ffffff" w:fill="ffffff" w:themeFill="light1"/>
        <w:tcBorders>
          <w:top w:val="none" w:color="000000" w:sz="0" w:space="0"/>
          <w:left w:val="none" w:color="000000" w:sz="0" w:space="0"/>
          <w:bottom w:val="single" w:color="F79646" w:themeColor="accent6" w:sz="4" w:space="0"/>
          <w:right w:val="none" w:color="000000" w:sz="0" w:space="0"/>
        </w:tcBorders>
      </w:tcPr>
    </w:tblStylePr>
    <w:tblStylePr w:type="lastCol">
      <w:rPr>
        <w:i/>
        <w:color w:val="fac090" w:themeColor="accent6" w:themeTint="98" w:themeShade="95"/>
        <w:sz w:val="22"/>
      </w:rPr>
      <w:tcPr>
        <w:shd w:val="clear" w:color="ffffff" w:fill="auto"/>
        <w:tcBorders>
          <w:top w:val="none" w:color="000000" w:sz="0" w:space="0"/>
          <w:left w:val="single" w:color="F79646" w:themeColor="accent6" w:sz="4" w:space="0"/>
          <w:bottom w:val="none" w:color="000000" w:sz="0" w:space="0"/>
          <w:right w:val="none" w:color="000000" w:sz="0" w:space="0"/>
        </w:tcBorders>
      </w:tcPr>
    </w:tblStylePr>
    <w:tblStylePr w:type="lastRow">
      <w:rPr>
        <w:i/>
        <w:color w:val="fac090" w:themeColor="accent6" w:themeTint="98" w:themeShade="95"/>
        <w:sz w:val="22"/>
      </w:rPr>
      <w:tcPr>
        <w:shd w:val="clear" w:color="ffffff" w:fill="ffffff" w:themeFill="light1"/>
        <w:tcBorders>
          <w:top w:val="single" w:color="F79646" w:themeColor="accent6" w:sz="4" w:space="0"/>
          <w:left w:val="none" w:color="000000" w:sz="0" w:space="0"/>
          <w:bottom w:val="none" w:color="000000" w:sz="0" w:space="0"/>
          <w:right w:val="none" w:color="000000" w:sz="0" w:space="0"/>
        </w:tcBorders>
      </w:tcPr>
    </w:tblStylePr>
  </w:style>
  <w:style w:type="table" w:styleId="1549" w:customStyle="1">
    <w:name w:val="Lined - Accent"/>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2f2f2" w:fill="ffffff" w:themeFill="text1" w:themeFillTint="00"/>
      </w:tcPr>
    </w:tblStylePr>
    <w:tblStylePr w:type="band2Vert">
      <w:rPr>
        <w:sz w:val="22"/>
      </w:rPr>
      <w:tcPr>
        <w:shd w:val="clear" w:color="f2f2f2" w:fill="ffffff" w:themeFill="text1" w:themeFillTint="00"/>
      </w:tcPr>
    </w:tblStylePr>
    <w:tblStylePr w:type="firstCol">
      <w:rPr>
        <w:sz w:val="22"/>
      </w:rPr>
      <w:tcPr>
        <w:shd w:val="clear" w:color="7f7f7f" w:fill="7f7f7f" w:themeFill="text1" w:themeFillTint="80"/>
      </w:tcPr>
    </w:tblStylePr>
    <w:tblStylePr w:type="firstRow">
      <w:rPr>
        <w:sz w:val="22"/>
      </w:rPr>
      <w:tcPr>
        <w:shd w:val="clear" w:color="7f7f7f" w:fill="7f7f7f" w:themeFill="text1" w:themeFillTint="80"/>
      </w:tcPr>
    </w:tblStylePr>
    <w:tblStylePr w:type="lastCol">
      <w:rPr>
        <w:sz w:val="22"/>
      </w:rPr>
      <w:tcPr>
        <w:shd w:val="clear" w:color="7f7f7f" w:fill="7f7f7f" w:themeFill="text1" w:themeFillTint="80"/>
      </w:tcPr>
    </w:tblStylePr>
    <w:tblStylePr w:type="lastRow">
      <w:rPr>
        <w:sz w:val="22"/>
      </w:rPr>
      <w:tcPr>
        <w:shd w:val="clear" w:color="7f7f7f" w:fill="7f7f7f" w:themeFill="text1" w:themeFillTint="80"/>
      </w:tcPr>
    </w:tblStylePr>
  </w:style>
  <w:style w:type="table" w:styleId="1550" w:customStyle="1">
    <w:name w:val="Lined - Accent 1"/>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c7d7ea" w:fill="c7d7ea" w:themeFill="accent1" w:themeFillTint="50"/>
      </w:tcPr>
    </w:tblStylePr>
    <w:tblStylePr w:type="band2Vert">
      <w:rPr>
        <w:sz w:val="22"/>
      </w:rPr>
      <w:tcPr>
        <w:shd w:val="clear" w:color="c7d7ea" w:fill="c7d7ea" w:themeFill="accent1" w:themeFillTint="50"/>
      </w:tcPr>
    </w:tblStylePr>
    <w:tblStylePr w:type="firstCol">
      <w:rPr>
        <w:sz w:val="22"/>
      </w:rPr>
      <w:tcPr>
        <w:shd w:val="clear" w:color="5d8ac2" w:fill="5d8ac2" w:themeFill="accent1" w:themeFillTint="EA"/>
      </w:tcPr>
    </w:tblStylePr>
    <w:tblStylePr w:type="firstRow">
      <w:rPr>
        <w:sz w:val="22"/>
      </w:rPr>
      <w:tcPr>
        <w:shd w:val="clear" w:color="5d8ac2" w:fill="5d8ac2" w:themeFill="accent1" w:themeFillTint="EA"/>
      </w:tcPr>
    </w:tblStylePr>
    <w:tblStylePr w:type="lastCol">
      <w:rPr>
        <w:sz w:val="22"/>
      </w:rPr>
      <w:tcPr>
        <w:shd w:val="clear" w:color="5d8ac2" w:fill="5d8ac2" w:themeFill="accent1" w:themeFillTint="EA"/>
      </w:tcPr>
    </w:tblStylePr>
    <w:tblStylePr w:type="lastRow">
      <w:rPr>
        <w:sz w:val="22"/>
      </w:rPr>
      <w:tcPr>
        <w:shd w:val="clear" w:color="5d8ac2" w:fill="5d8ac2" w:themeFill="accent1" w:themeFillTint="EA"/>
      </w:tcPr>
    </w:tblStylePr>
  </w:style>
  <w:style w:type="table" w:styleId="1551" w:customStyle="1">
    <w:name w:val="Lined - Accent 2"/>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2dcdc" w:fill="f2dcdc" w:themeFill="accent2" w:themeFillTint="32"/>
      </w:tcPr>
    </w:tblStylePr>
    <w:tblStylePr w:type="band2Vert">
      <w:rPr>
        <w:sz w:val="22"/>
      </w:rPr>
      <w:tcPr>
        <w:shd w:val="clear" w:color="f2dcdc" w:fill="f2dcdc" w:themeFill="accent2" w:themeFillTint="32"/>
      </w:tcPr>
    </w:tblStylePr>
    <w:tblStylePr w:type="firstCol">
      <w:rPr>
        <w:sz w:val="22"/>
      </w:rPr>
      <w:tcPr>
        <w:shd w:val="clear" w:color="d99695" w:fill="d99695" w:themeFill="accent2" w:themeFillTint="97"/>
      </w:tcPr>
    </w:tblStylePr>
    <w:tblStylePr w:type="firstRow">
      <w:rPr>
        <w:sz w:val="22"/>
      </w:rPr>
      <w:tcPr>
        <w:shd w:val="clear" w:color="d99695" w:fill="d99695" w:themeFill="accent2" w:themeFillTint="97"/>
      </w:tcPr>
    </w:tblStylePr>
    <w:tblStylePr w:type="lastCol">
      <w:rPr>
        <w:sz w:val="22"/>
      </w:rPr>
      <w:tcPr>
        <w:shd w:val="clear" w:color="d99695" w:fill="d99695" w:themeFill="accent2" w:themeFillTint="97"/>
      </w:tcPr>
    </w:tblStylePr>
    <w:tblStylePr w:type="lastRow">
      <w:rPr>
        <w:sz w:val="22"/>
      </w:rPr>
      <w:tcPr>
        <w:shd w:val="clear" w:color="d99695" w:fill="d99695" w:themeFill="accent2" w:themeFillTint="97"/>
      </w:tcPr>
    </w:tblStylePr>
  </w:style>
  <w:style w:type="table" w:styleId="1552" w:customStyle="1">
    <w:name w:val="Lined - Accent 3"/>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eaf1dc" w:fill="eaf1dc" w:themeFill="accent3" w:themeFillTint="34"/>
      </w:tcPr>
    </w:tblStylePr>
    <w:tblStylePr w:type="band2Vert">
      <w:rPr>
        <w:sz w:val="22"/>
      </w:rPr>
      <w:tcPr>
        <w:shd w:val="clear" w:color="eaf1dc" w:fill="eaf1dc" w:themeFill="accent3" w:themeFillTint="34"/>
      </w:tcPr>
    </w:tblStylePr>
    <w:tblStylePr w:type="firstCol">
      <w:rPr>
        <w:sz w:val="22"/>
      </w:rPr>
      <w:tcPr>
        <w:shd w:val="clear" w:color="9abb59" w:fill="9abb59" w:themeFill="accent3" w:themeFillTint="FE"/>
      </w:tcPr>
    </w:tblStylePr>
    <w:tblStylePr w:type="firstRow">
      <w:rPr>
        <w:sz w:val="22"/>
      </w:rPr>
      <w:tcPr>
        <w:shd w:val="clear" w:color="9abb59" w:fill="9abb59" w:themeFill="accent3" w:themeFillTint="FE"/>
      </w:tcPr>
    </w:tblStylePr>
    <w:tblStylePr w:type="lastCol">
      <w:rPr>
        <w:sz w:val="22"/>
      </w:rPr>
      <w:tcPr>
        <w:shd w:val="clear" w:color="9abb59" w:fill="9abb59" w:themeFill="accent3" w:themeFillTint="FE"/>
      </w:tcPr>
    </w:tblStylePr>
    <w:tblStylePr w:type="lastRow">
      <w:rPr>
        <w:sz w:val="22"/>
      </w:rPr>
      <w:tcPr>
        <w:shd w:val="clear" w:color="9abb59" w:fill="9abb59" w:themeFill="accent3" w:themeFillTint="FE"/>
      </w:tcPr>
    </w:tblStylePr>
  </w:style>
  <w:style w:type="table" w:styleId="1553" w:customStyle="1">
    <w:name w:val="Lined - Accent 4"/>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e5dfec" w:fill="e5dfec" w:themeFill="accent4" w:themeFillTint="34"/>
      </w:tcPr>
    </w:tblStylePr>
    <w:tblStylePr w:type="band2Vert">
      <w:rPr>
        <w:sz w:val="22"/>
      </w:rPr>
      <w:tcPr>
        <w:shd w:val="clear" w:color="e5dfec" w:fill="e5dfec" w:themeFill="accent4" w:themeFillTint="34"/>
      </w:tcPr>
    </w:tblStylePr>
    <w:tblStylePr w:type="firstCol">
      <w:rPr>
        <w:sz w:val="22"/>
      </w:rPr>
      <w:tcPr>
        <w:shd w:val="clear" w:color="b2a1c6" w:fill="b2a1c6" w:themeFill="accent4" w:themeFillTint="9A"/>
      </w:tcPr>
    </w:tblStylePr>
    <w:tblStylePr w:type="firstRow">
      <w:rPr>
        <w:sz w:val="22"/>
      </w:rPr>
      <w:tcPr>
        <w:shd w:val="clear" w:color="b2a1c6" w:fill="b2a1c6" w:themeFill="accent4" w:themeFillTint="9A"/>
      </w:tcPr>
    </w:tblStylePr>
    <w:tblStylePr w:type="lastCol">
      <w:rPr>
        <w:sz w:val="22"/>
      </w:rPr>
      <w:tcPr>
        <w:shd w:val="clear" w:color="b2a1c6" w:fill="b2a1c6" w:themeFill="accent4" w:themeFillTint="9A"/>
      </w:tcPr>
    </w:tblStylePr>
    <w:tblStylePr w:type="lastRow">
      <w:rPr>
        <w:sz w:val="22"/>
      </w:rPr>
      <w:tcPr>
        <w:shd w:val="clear" w:color="b2a1c6" w:fill="b2a1c6" w:themeFill="accent4" w:themeFillTint="9A"/>
      </w:tcPr>
    </w:tblStylePr>
  </w:style>
  <w:style w:type="table" w:styleId="1554" w:customStyle="1">
    <w:name w:val="Lined - Accent 5"/>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daeef3" w:fill="daeef3" w:themeFill="accent5" w:themeFillTint="34"/>
      </w:tcPr>
    </w:tblStylePr>
    <w:tblStylePr w:type="band2Vert">
      <w:rPr>
        <w:sz w:val="22"/>
      </w:rPr>
      <w:tcPr>
        <w:shd w:val="clear" w:color="daeef3" w:fill="daeef3" w:themeFill="accent5" w:themeFillTint="34"/>
      </w:tcPr>
    </w:tblStylePr>
    <w:tblStylePr w:type="firstCol">
      <w:rPr>
        <w:sz w:val="22"/>
      </w:rPr>
      <w:tcPr>
        <w:shd w:val="clear" w:color="4bacc6" w:fill="4bacc6" w:themeFill="accent5"/>
      </w:tcPr>
    </w:tblStylePr>
    <w:tblStylePr w:type="firstRow">
      <w:rPr>
        <w:sz w:val="22"/>
      </w:rPr>
      <w:tcPr>
        <w:shd w:val="clear" w:color="4bacc6" w:fill="4bacc6" w:themeFill="accent5"/>
      </w:tcPr>
    </w:tblStylePr>
    <w:tblStylePr w:type="lastCol">
      <w:rPr>
        <w:sz w:val="22"/>
      </w:rPr>
      <w:tcPr>
        <w:shd w:val="clear" w:color="4bacc6" w:fill="4bacc6" w:themeFill="accent5"/>
      </w:tcPr>
    </w:tblStylePr>
    <w:tblStylePr w:type="lastRow">
      <w:rPr>
        <w:sz w:val="22"/>
      </w:rPr>
      <w:tcPr>
        <w:shd w:val="clear" w:color="4bacc6" w:fill="4bacc6" w:themeFill="accent5"/>
      </w:tcPr>
    </w:tblStylePr>
  </w:style>
  <w:style w:type="table" w:styleId="1555" w:customStyle="1">
    <w:name w:val="Lined - Accent 6"/>
    <w:basedOn w:val="1126"/>
    <w:uiPriority w:val="99"/>
    <w:tblPr>
      <w:tblStyleRowBandSize w:val="1"/>
      <w:tblStyleColBandSize w:val="1"/>
      <w:tblInd w:w="0" w:type="dxa"/>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de9d8" w:fill="fde9d8" w:themeFill="accent6" w:themeFillTint="34"/>
      </w:tcPr>
    </w:tblStylePr>
    <w:tblStylePr w:type="band2Vert">
      <w:rPr>
        <w:sz w:val="22"/>
      </w:rPr>
      <w:tcPr>
        <w:shd w:val="clear" w:color="fde9d8" w:fill="fde9d8" w:themeFill="accent6" w:themeFillTint="34"/>
      </w:tcPr>
    </w:tblStylePr>
    <w:tblStylePr w:type="firstCol">
      <w:rPr>
        <w:sz w:val="22"/>
      </w:rPr>
      <w:tcPr>
        <w:shd w:val="clear" w:color="f79646" w:fill="f79646" w:themeFill="accent6"/>
      </w:tcPr>
    </w:tblStylePr>
    <w:tblStylePr w:type="firstRow">
      <w:rPr>
        <w:sz w:val="22"/>
      </w:rPr>
      <w:tcPr>
        <w:shd w:val="clear" w:color="f79646" w:fill="f79646" w:themeFill="accent6"/>
      </w:tcPr>
    </w:tblStylePr>
    <w:tblStylePr w:type="lastCol">
      <w:rPr>
        <w:sz w:val="22"/>
      </w:rPr>
      <w:tcPr>
        <w:shd w:val="clear" w:color="f79646" w:fill="f79646" w:themeFill="accent6"/>
      </w:tcPr>
    </w:tblStylePr>
    <w:tblStylePr w:type="lastRow">
      <w:rPr>
        <w:sz w:val="22"/>
      </w:rPr>
      <w:tcPr>
        <w:shd w:val="clear" w:color="f79646" w:fill="f79646" w:themeFill="accent6"/>
      </w:tcPr>
    </w:tblStylePr>
  </w:style>
  <w:style w:type="table" w:styleId="1556" w:customStyle="1">
    <w:name w:val="Bordered &amp; Lined - Accent"/>
    <w:basedOn w:val="1126"/>
    <w:uiPriority w:val="99"/>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2f2f2" w:fill="ffffff" w:themeFill="text1" w:themeFillTint="00"/>
      </w:tcPr>
    </w:tblStylePr>
    <w:tblStylePr w:type="band2Vert">
      <w:rPr>
        <w:sz w:val="22"/>
      </w:rPr>
      <w:tcPr>
        <w:shd w:val="clear" w:color="f2f2f2" w:fill="ffffff" w:themeFill="text1" w:themeFillTint="00"/>
      </w:tcPr>
    </w:tblStylePr>
    <w:tblStylePr w:type="firstCol">
      <w:rPr>
        <w:sz w:val="22"/>
      </w:rPr>
      <w:tcPr>
        <w:shd w:val="clear" w:color="7f7f7f" w:fill="7f7f7f" w:themeFill="text1" w:themeFillTint="80"/>
      </w:tcPr>
    </w:tblStylePr>
    <w:tblStylePr w:type="firstRow">
      <w:rPr>
        <w:sz w:val="22"/>
      </w:rPr>
      <w:tcPr>
        <w:shd w:val="clear" w:color="7f7f7f" w:fill="7f7f7f" w:themeFill="text1" w:themeFillTint="80"/>
      </w:tcPr>
    </w:tblStylePr>
    <w:tblStylePr w:type="lastCol">
      <w:rPr>
        <w:sz w:val="22"/>
      </w:rPr>
      <w:tcPr>
        <w:shd w:val="clear" w:color="7f7f7f" w:fill="7f7f7f" w:themeFill="text1" w:themeFillTint="80"/>
      </w:tcPr>
    </w:tblStylePr>
    <w:tblStylePr w:type="lastRow">
      <w:rPr>
        <w:sz w:val="22"/>
      </w:rPr>
      <w:tcPr>
        <w:shd w:val="clear" w:color="7f7f7f" w:fill="7f7f7f" w:themeFill="text1" w:themeFillTint="80"/>
      </w:tcPr>
    </w:tblStylePr>
  </w:style>
  <w:style w:type="table" w:styleId="1557" w:customStyle="1">
    <w:name w:val="Bordered &amp; Lined - Accent 1"/>
    <w:basedOn w:val="1126"/>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c7d7ea" w:fill="c7d7ea" w:themeFill="accent1" w:themeFillTint="50"/>
      </w:tcPr>
    </w:tblStylePr>
    <w:tblStylePr w:type="band2Vert">
      <w:rPr>
        <w:sz w:val="22"/>
      </w:rPr>
      <w:tcPr>
        <w:shd w:val="clear" w:color="c7d7ea" w:fill="c7d7ea" w:themeFill="accent1" w:themeFillTint="50"/>
      </w:tcPr>
    </w:tblStylePr>
    <w:tblStylePr w:type="firstCol">
      <w:rPr>
        <w:sz w:val="22"/>
      </w:rPr>
      <w:tcPr>
        <w:shd w:val="clear" w:color="5d8ac2" w:fill="5d8ac2" w:themeFill="accent1" w:themeFillTint="EA"/>
      </w:tcPr>
    </w:tblStylePr>
    <w:tblStylePr w:type="firstRow">
      <w:rPr>
        <w:sz w:val="22"/>
      </w:rPr>
      <w:tcPr>
        <w:shd w:val="clear" w:color="5d8ac2" w:fill="5d8ac2" w:themeFill="accent1" w:themeFillTint="EA"/>
      </w:tcPr>
    </w:tblStylePr>
    <w:tblStylePr w:type="lastCol">
      <w:rPr>
        <w:sz w:val="22"/>
      </w:rPr>
      <w:tcPr>
        <w:shd w:val="clear" w:color="5d8ac2" w:fill="5d8ac2" w:themeFill="accent1" w:themeFillTint="EA"/>
      </w:tcPr>
    </w:tblStylePr>
    <w:tblStylePr w:type="lastRow">
      <w:rPr>
        <w:sz w:val="22"/>
      </w:rPr>
      <w:tcPr>
        <w:shd w:val="clear" w:color="5d8ac2" w:fill="5d8ac2" w:themeFill="accent1" w:themeFillTint="EA"/>
      </w:tcPr>
    </w:tblStylePr>
  </w:style>
  <w:style w:type="table" w:styleId="1558" w:customStyle="1">
    <w:name w:val="Bordered &amp; Lined - Accent 2"/>
    <w:basedOn w:val="1126"/>
    <w:uiPriority w:val="99"/>
    <w:tblPr>
      <w:tblStyleRowBandSize w:val="1"/>
      <w:tblStyleColBandSize w:val="1"/>
      <w:tblInd w:w="0" w:type="dxa"/>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2dcdc" w:fill="f2dcdc" w:themeFill="accent2" w:themeFillTint="32"/>
      </w:tcPr>
    </w:tblStylePr>
    <w:tblStylePr w:type="band2Vert">
      <w:rPr>
        <w:sz w:val="22"/>
      </w:rPr>
      <w:tcPr>
        <w:shd w:val="clear" w:color="f2dcdc" w:fill="f2dcdc" w:themeFill="accent2" w:themeFillTint="32"/>
      </w:tcPr>
    </w:tblStylePr>
    <w:tblStylePr w:type="firstCol">
      <w:rPr>
        <w:sz w:val="22"/>
      </w:rPr>
      <w:tcPr>
        <w:shd w:val="clear" w:color="d99695" w:fill="d99695" w:themeFill="accent2" w:themeFillTint="97"/>
      </w:tcPr>
    </w:tblStylePr>
    <w:tblStylePr w:type="firstRow">
      <w:rPr>
        <w:sz w:val="22"/>
      </w:rPr>
      <w:tcPr>
        <w:shd w:val="clear" w:color="d99695" w:fill="d99695" w:themeFill="accent2" w:themeFillTint="97"/>
      </w:tcPr>
    </w:tblStylePr>
    <w:tblStylePr w:type="lastCol">
      <w:rPr>
        <w:sz w:val="22"/>
      </w:rPr>
      <w:tcPr>
        <w:shd w:val="clear" w:color="d99695" w:fill="d99695" w:themeFill="accent2" w:themeFillTint="97"/>
      </w:tcPr>
    </w:tblStylePr>
    <w:tblStylePr w:type="lastRow">
      <w:rPr>
        <w:sz w:val="22"/>
      </w:rPr>
      <w:tcPr>
        <w:shd w:val="clear" w:color="d99695" w:fill="d99695" w:themeFill="accent2" w:themeFillTint="97"/>
      </w:tcPr>
    </w:tblStylePr>
  </w:style>
  <w:style w:type="table" w:styleId="1559" w:customStyle="1">
    <w:name w:val="Bordered &amp; Lined - Accent 3"/>
    <w:basedOn w:val="1126"/>
    <w:uiPriority w:val="99"/>
    <w:tblPr>
      <w:tblStyleRowBandSize w:val="1"/>
      <w:tblStyleColBandSize w:val="1"/>
      <w:tblInd w:w="0" w:type="dxa"/>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eaf1dc" w:fill="eaf1dc" w:themeFill="accent3" w:themeFillTint="34"/>
      </w:tcPr>
    </w:tblStylePr>
    <w:tblStylePr w:type="band2Vert">
      <w:rPr>
        <w:sz w:val="22"/>
      </w:rPr>
      <w:tcPr>
        <w:shd w:val="clear" w:color="eaf1dc" w:fill="eaf1dc" w:themeFill="accent3" w:themeFillTint="34"/>
      </w:tcPr>
    </w:tblStylePr>
    <w:tblStylePr w:type="firstCol">
      <w:rPr>
        <w:sz w:val="22"/>
      </w:rPr>
      <w:tcPr>
        <w:shd w:val="clear" w:color="9abb59" w:fill="9abb59" w:themeFill="accent3" w:themeFillTint="FE"/>
      </w:tcPr>
    </w:tblStylePr>
    <w:tblStylePr w:type="firstRow">
      <w:rPr>
        <w:sz w:val="22"/>
      </w:rPr>
      <w:tcPr>
        <w:shd w:val="clear" w:color="9abb59" w:fill="9abb59" w:themeFill="accent3" w:themeFillTint="FE"/>
      </w:tcPr>
    </w:tblStylePr>
    <w:tblStylePr w:type="lastCol">
      <w:rPr>
        <w:sz w:val="22"/>
      </w:rPr>
      <w:tcPr>
        <w:shd w:val="clear" w:color="9abb59" w:fill="9abb59" w:themeFill="accent3" w:themeFillTint="FE"/>
      </w:tcPr>
    </w:tblStylePr>
    <w:tblStylePr w:type="lastRow">
      <w:rPr>
        <w:sz w:val="22"/>
      </w:rPr>
      <w:tcPr>
        <w:shd w:val="clear" w:color="9abb59" w:fill="9abb59" w:themeFill="accent3" w:themeFillTint="FE"/>
      </w:tcPr>
    </w:tblStylePr>
  </w:style>
  <w:style w:type="table" w:styleId="1560" w:customStyle="1">
    <w:name w:val="Bordered &amp; Lined - Accent 4"/>
    <w:basedOn w:val="1126"/>
    <w:uiPriority w:val="99"/>
    <w:tblPr>
      <w:tblStyleRowBandSize w:val="1"/>
      <w:tblStyleColBandSize w:val="1"/>
      <w:tblInd w:w="0" w:type="dxa"/>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e5dfec" w:fill="e5dfec" w:themeFill="accent4" w:themeFillTint="34"/>
      </w:tcPr>
    </w:tblStylePr>
    <w:tblStylePr w:type="band2Vert">
      <w:rPr>
        <w:sz w:val="22"/>
      </w:rPr>
      <w:tcPr>
        <w:shd w:val="clear" w:color="e5dfec" w:fill="e5dfec" w:themeFill="accent4" w:themeFillTint="34"/>
      </w:tcPr>
    </w:tblStylePr>
    <w:tblStylePr w:type="firstCol">
      <w:rPr>
        <w:sz w:val="22"/>
      </w:rPr>
      <w:tcPr>
        <w:shd w:val="clear" w:color="b2a1c6" w:fill="b2a1c6" w:themeFill="accent4" w:themeFillTint="9A"/>
      </w:tcPr>
    </w:tblStylePr>
    <w:tblStylePr w:type="firstRow">
      <w:rPr>
        <w:sz w:val="22"/>
      </w:rPr>
      <w:tcPr>
        <w:shd w:val="clear" w:color="b2a1c6" w:fill="b2a1c6" w:themeFill="accent4" w:themeFillTint="9A"/>
      </w:tcPr>
    </w:tblStylePr>
    <w:tblStylePr w:type="lastCol">
      <w:rPr>
        <w:sz w:val="22"/>
      </w:rPr>
      <w:tcPr>
        <w:shd w:val="clear" w:color="b2a1c6" w:fill="b2a1c6" w:themeFill="accent4" w:themeFillTint="9A"/>
      </w:tcPr>
    </w:tblStylePr>
    <w:tblStylePr w:type="lastRow">
      <w:rPr>
        <w:sz w:val="22"/>
      </w:rPr>
      <w:tcPr>
        <w:shd w:val="clear" w:color="b2a1c6" w:fill="b2a1c6" w:themeFill="accent4" w:themeFillTint="9A"/>
      </w:tcPr>
    </w:tblStylePr>
  </w:style>
  <w:style w:type="table" w:styleId="1561" w:customStyle="1">
    <w:name w:val="Bordered &amp; Lined - Accent 5"/>
    <w:basedOn w:val="1126"/>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daeef3" w:fill="daeef3" w:themeFill="accent5" w:themeFillTint="34"/>
      </w:tcPr>
    </w:tblStylePr>
    <w:tblStylePr w:type="band2Vert">
      <w:rPr>
        <w:sz w:val="22"/>
      </w:rPr>
      <w:tcPr>
        <w:shd w:val="clear" w:color="daeef3" w:fill="daeef3" w:themeFill="accent5" w:themeFillTint="34"/>
      </w:tcPr>
    </w:tblStylePr>
    <w:tblStylePr w:type="firstCol">
      <w:rPr>
        <w:sz w:val="22"/>
      </w:rPr>
      <w:tcPr>
        <w:shd w:val="clear" w:color="4bacc6" w:fill="4bacc6" w:themeFill="accent5"/>
      </w:tcPr>
    </w:tblStylePr>
    <w:tblStylePr w:type="firstRow">
      <w:rPr>
        <w:sz w:val="22"/>
      </w:rPr>
      <w:tcPr>
        <w:shd w:val="clear" w:color="4bacc6" w:fill="4bacc6" w:themeFill="accent5"/>
      </w:tcPr>
    </w:tblStylePr>
    <w:tblStylePr w:type="lastCol">
      <w:rPr>
        <w:sz w:val="22"/>
      </w:rPr>
      <w:tcPr>
        <w:shd w:val="clear" w:color="4bacc6" w:fill="4bacc6" w:themeFill="accent5"/>
      </w:tcPr>
    </w:tblStylePr>
    <w:tblStylePr w:type="lastRow">
      <w:rPr>
        <w:sz w:val="22"/>
      </w:rPr>
      <w:tcPr>
        <w:shd w:val="clear" w:color="4bacc6" w:fill="4bacc6" w:themeFill="accent5"/>
      </w:tcPr>
    </w:tblStylePr>
  </w:style>
  <w:style w:type="table" w:styleId="1562" w:customStyle="1">
    <w:name w:val="Bordered &amp; Lined - Accent 6"/>
    <w:basedOn w:val="1126"/>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sz w:val="22"/>
      </w:rPr>
    </w:tblStylePr>
    <w:tblStylePr w:type="band1Vert">
      <w:rPr>
        <w:sz w:val="22"/>
      </w:rPr>
    </w:tblStylePr>
    <w:tblStylePr w:type="band2Horz">
      <w:rPr>
        <w:sz w:val="22"/>
      </w:rPr>
      <w:tcPr>
        <w:shd w:val="clear" w:color="fde9d8" w:fill="fde9d8" w:themeFill="accent6" w:themeFillTint="34"/>
      </w:tcPr>
    </w:tblStylePr>
    <w:tblStylePr w:type="band2Vert">
      <w:rPr>
        <w:sz w:val="22"/>
      </w:rPr>
      <w:tcPr>
        <w:shd w:val="clear" w:color="fde9d8" w:fill="fde9d8" w:themeFill="accent6" w:themeFillTint="34"/>
      </w:tcPr>
    </w:tblStylePr>
    <w:tblStylePr w:type="firstCol">
      <w:rPr>
        <w:sz w:val="22"/>
      </w:rPr>
      <w:tcPr>
        <w:shd w:val="clear" w:color="f79646" w:fill="f79646" w:themeFill="accent6"/>
      </w:tcPr>
    </w:tblStylePr>
    <w:tblStylePr w:type="firstRow">
      <w:rPr>
        <w:sz w:val="22"/>
      </w:rPr>
      <w:tcPr>
        <w:shd w:val="clear" w:color="f79646" w:fill="f79646" w:themeFill="accent6"/>
      </w:tcPr>
    </w:tblStylePr>
    <w:tblStylePr w:type="lastCol">
      <w:rPr>
        <w:sz w:val="22"/>
      </w:rPr>
      <w:tcPr>
        <w:shd w:val="clear" w:color="f79646" w:fill="f79646" w:themeFill="accent6"/>
      </w:tcPr>
    </w:tblStylePr>
    <w:tblStylePr w:type="lastRow">
      <w:rPr>
        <w:sz w:val="22"/>
      </w:rPr>
      <w:tcPr>
        <w:shd w:val="clear" w:color="f79646" w:fill="f79646" w:themeFill="accent6"/>
      </w:tcPr>
    </w:tblStylePr>
  </w:style>
  <w:style w:type="table" w:styleId="1563" w:customStyle="1">
    <w:name w:val="Bordered"/>
    <w:basedOn w:val="1126"/>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tblStylePr w:type="band1Horz">
      <w:rPr>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StylePr>
    <w:tblStylePr w:type="firstRow">
      <w:rPr>
        <w:sz w:val="22"/>
      </w:rPr>
      <w:tcPr>
        <w:tcBorders>
          <w:bottom w:val="single" w:color="000000" w:themeColor="text1" w:sz="12" w:space="0"/>
        </w:tcBorders>
      </w:tcPr>
    </w:tblStylePr>
    <w:tblStylePr w:type="lastCol">
      <w:rPr>
        <w:sz w:val="22"/>
      </w:rPr>
      <w:tcPr>
        <w:tcBorders>
          <w:left w:val="single" w:color="000000" w:themeColor="text1" w:sz="12" w:space="0"/>
        </w:tcBorders>
      </w:tcPr>
    </w:tblStylePr>
    <w:tblStylePr w:type="lastRow">
      <w:rPr>
        <w:sz w:val="22"/>
      </w:rPr>
      <w:tcPr>
        <w:tcBorders>
          <w:top w:val="single" w:color="000000" w:themeColor="text1" w:sz="12" w:space="0"/>
        </w:tcBorders>
      </w:tcPr>
    </w:tblStylePr>
  </w:style>
  <w:style w:type="table" w:styleId="1564" w:customStyle="1">
    <w:name w:val="Bordered - Accent 1"/>
    <w:basedOn w:val="1126"/>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sz w:val="22"/>
      </w:r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tblStylePr w:type="firstCol">
      <w:rPr>
        <w:sz w:val="22"/>
      </w:rPr>
    </w:tblStylePr>
    <w:tblStylePr w:type="firstRow">
      <w:rPr>
        <w:sz w:val="22"/>
      </w:rPr>
      <w:tcPr>
        <w:tcBorders>
          <w:bottom w:val="single" w:color="4F81BD" w:themeColor="accent1" w:sz="12" w:space="0"/>
        </w:tcBorders>
      </w:tcPr>
    </w:tblStylePr>
    <w:tblStylePr w:type="lastCol">
      <w:rPr>
        <w:sz w:val="22"/>
      </w:rPr>
      <w:tcPr>
        <w:tcBorders>
          <w:left w:val="single" w:color="4F81BD" w:themeColor="accent1" w:sz="12" w:space="0"/>
        </w:tcBorders>
      </w:tcPr>
    </w:tblStylePr>
    <w:tblStylePr w:type="lastRow">
      <w:rPr>
        <w:sz w:val="22"/>
      </w:rPr>
      <w:tcPr>
        <w:tcBorders>
          <w:top w:val="single" w:color="4F81BD" w:themeColor="accent1" w:sz="12" w:space="0"/>
        </w:tcBorders>
      </w:tcPr>
    </w:tblStylePr>
  </w:style>
  <w:style w:type="table" w:styleId="1565" w:customStyle="1">
    <w:name w:val="Bordered - Accent 2"/>
    <w:basedOn w:val="1126"/>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sz w:val="22"/>
      </w:r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tblStylePr w:type="firstCol">
      <w:rPr>
        <w:sz w:val="22"/>
      </w:rPr>
    </w:tblStylePr>
    <w:tblStylePr w:type="firstRow">
      <w:rPr>
        <w:sz w:val="22"/>
      </w:rPr>
      <w:tcPr>
        <w:tcBorders>
          <w:bottom w:val="single" w:color="C0504D" w:themeColor="accent2" w:sz="12" w:space="0"/>
        </w:tcBorders>
      </w:tcPr>
    </w:tblStylePr>
    <w:tblStylePr w:type="lastCol">
      <w:rPr>
        <w:sz w:val="22"/>
      </w:rPr>
      <w:tcPr>
        <w:tcBorders>
          <w:left w:val="single" w:color="C0504D" w:themeColor="accent2" w:sz="12" w:space="0"/>
        </w:tcBorders>
      </w:tcPr>
    </w:tblStylePr>
    <w:tblStylePr w:type="lastRow">
      <w:rPr>
        <w:sz w:val="22"/>
      </w:rPr>
      <w:tcPr>
        <w:tcBorders>
          <w:top w:val="single" w:color="C0504D" w:themeColor="accent2" w:sz="12" w:space="0"/>
        </w:tcBorders>
      </w:tcPr>
    </w:tblStylePr>
  </w:style>
  <w:style w:type="table" w:styleId="1566" w:customStyle="1">
    <w:name w:val="Bordered - Accent 3"/>
    <w:basedOn w:val="1126"/>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sz w:val="22"/>
      </w:r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tblStylePr w:type="firstCol">
      <w:rPr>
        <w:sz w:val="22"/>
      </w:rPr>
    </w:tblStylePr>
    <w:tblStylePr w:type="firstRow">
      <w:rPr>
        <w:sz w:val="22"/>
      </w:rPr>
      <w:tcPr>
        <w:tcBorders>
          <w:bottom w:val="single" w:color="9BBB59" w:themeColor="accent3" w:sz="12" w:space="0"/>
        </w:tcBorders>
      </w:tcPr>
    </w:tblStylePr>
    <w:tblStylePr w:type="lastCol">
      <w:rPr>
        <w:sz w:val="22"/>
      </w:rPr>
      <w:tcPr>
        <w:tcBorders>
          <w:left w:val="single" w:color="9BBB59" w:themeColor="accent3" w:sz="12" w:space="0"/>
        </w:tcBorders>
      </w:tcPr>
    </w:tblStylePr>
    <w:tblStylePr w:type="lastRow">
      <w:rPr>
        <w:sz w:val="22"/>
      </w:rPr>
      <w:tcPr>
        <w:tcBorders>
          <w:top w:val="single" w:color="9BBB59" w:themeColor="accent3" w:sz="12" w:space="0"/>
        </w:tcBorders>
      </w:tcPr>
    </w:tblStylePr>
  </w:style>
  <w:style w:type="table" w:styleId="1567" w:customStyle="1">
    <w:name w:val="Bordered - Accent 4"/>
    <w:basedOn w:val="1126"/>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sz w:val="22"/>
      </w:r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tblStylePr w:type="firstCol">
      <w:rPr>
        <w:sz w:val="22"/>
      </w:rPr>
    </w:tblStylePr>
    <w:tblStylePr w:type="firstRow">
      <w:rPr>
        <w:sz w:val="22"/>
      </w:rPr>
      <w:tcPr>
        <w:tcBorders>
          <w:bottom w:val="single" w:color="8064A2" w:themeColor="accent4" w:sz="12" w:space="0"/>
        </w:tcBorders>
      </w:tcPr>
    </w:tblStylePr>
    <w:tblStylePr w:type="lastCol">
      <w:rPr>
        <w:sz w:val="22"/>
      </w:rPr>
      <w:tcPr>
        <w:tcBorders>
          <w:left w:val="single" w:color="8064A2" w:themeColor="accent4" w:sz="12" w:space="0"/>
        </w:tcBorders>
      </w:tcPr>
    </w:tblStylePr>
    <w:tblStylePr w:type="lastRow">
      <w:rPr>
        <w:sz w:val="22"/>
      </w:rPr>
      <w:tcPr>
        <w:tcBorders>
          <w:top w:val="single" w:color="8064A2" w:themeColor="accent4" w:sz="12" w:space="0"/>
        </w:tcBorders>
      </w:tcPr>
    </w:tblStylePr>
  </w:style>
  <w:style w:type="table" w:styleId="1568" w:customStyle="1">
    <w:name w:val="Bordered - Accent 5"/>
    <w:basedOn w:val="1126"/>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firstCol">
      <w:rPr>
        <w:sz w:val="22"/>
      </w:rPr>
    </w:tblStylePr>
    <w:tblStylePr w:type="firstRow">
      <w:rPr>
        <w:sz w:val="22"/>
      </w:rPr>
      <w:tcPr>
        <w:tcBorders>
          <w:bottom w:val="single" w:color="4BACC6" w:themeColor="accent5" w:sz="12" w:space="0"/>
        </w:tcBorders>
      </w:tcPr>
    </w:tblStylePr>
    <w:tblStylePr w:type="lastCol">
      <w:rPr>
        <w:sz w:val="22"/>
      </w:rPr>
      <w:tcPr>
        <w:tcBorders>
          <w:left w:val="single" w:color="4BACC6" w:themeColor="accent5" w:sz="12" w:space="0"/>
        </w:tcBorders>
      </w:tcPr>
    </w:tblStylePr>
    <w:tblStylePr w:type="lastRow">
      <w:rPr>
        <w:sz w:val="22"/>
      </w:rPr>
      <w:tcPr>
        <w:tcBorders>
          <w:top w:val="single" w:color="4BACC6" w:themeColor="accent5" w:sz="12" w:space="0"/>
        </w:tcBorders>
      </w:tcPr>
    </w:tblStylePr>
  </w:style>
  <w:style w:type="table" w:styleId="1569" w:customStyle="1">
    <w:name w:val="Bordered - Accent 6"/>
    <w:basedOn w:val="1126"/>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firstCol">
      <w:rPr>
        <w:sz w:val="22"/>
      </w:rPr>
    </w:tblStylePr>
    <w:tblStylePr w:type="firstRow">
      <w:rPr>
        <w:sz w:val="22"/>
      </w:rPr>
      <w:tcPr>
        <w:tcBorders>
          <w:bottom w:val="single" w:color="F79646" w:themeColor="accent6" w:sz="12" w:space="0"/>
        </w:tcBorders>
      </w:tcPr>
    </w:tblStylePr>
    <w:tblStylePr w:type="lastCol">
      <w:rPr>
        <w:sz w:val="22"/>
      </w:rPr>
      <w:tcPr>
        <w:tcBorders>
          <w:left w:val="single" w:color="F79646" w:themeColor="accent6" w:sz="12" w:space="0"/>
        </w:tcBorders>
      </w:tcPr>
    </w:tblStylePr>
    <w:tblStylePr w:type="lastRow">
      <w:rPr>
        <w:sz w:val="22"/>
      </w:rPr>
      <w:tcPr>
        <w:tcBorders>
          <w:top w:val="single" w:color="F79646" w:themeColor="accent6" w:sz="12" w:space="0"/>
        </w:tcBorders>
      </w:tcPr>
    </w:tblStylePr>
  </w:style>
  <w:style w:type="table" w:styleId="1570">
    <w:name w:val="Table Grid"/>
    <w:basedOn w:val="1126"/>
    <w:uiPriority w:val="3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footer" Target="footer14.xml" /><Relationship Id="rId23" Type="http://schemas.openxmlformats.org/officeDocument/2006/relationships/footer" Target="footer15.xml" /><Relationship Id="rId24" Type="http://schemas.openxmlformats.org/officeDocument/2006/relationships/footer" Target="footer16.xml" /><Relationship Id="rId25" Type="http://schemas.openxmlformats.org/officeDocument/2006/relationships/footer" Target="footer17.xml" /><Relationship Id="rId26" Type="http://schemas.openxmlformats.org/officeDocument/2006/relationships/footer" Target="footer18.xml" /><Relationship Id="rId27" Type="http://schemas.openxmlformats.org/officeDocument/2006/relationships/footer" Target="footer19.xml" /><Relationship Id="rId28" Type="http://schemas.openxmlformats.org/officeDocument/2006/relationships/footer" Target="footer20.xml" /><Relationship Id="rId29" Type="http://schemas.openxmlformats.org/officeDocument/2006/relationships/footer" Target="footer21.xml" /><Relationship Id="rId30" Type="http://schemas.openxmlformats.org/officeDocument/2006/relationships/footer" Target="footer22.xml" /><Relationship Id="rId31" Type="http://schemas.openxmlformats.org/officeDocument/2006/relationships/footer" Target="footer23.xml" /><Relationship Id="rId32" Type="http://schemas.openxmlformats.org/officeDocument/2006/relationships/footer" Target="footer24.xml" /><Relationship Id="rId33" Type="http://schemas.openxmlformats.org/officeDocument/2006/relationships/footer" Target="footer25.xml" /><Relationship Id="rId34" Type="http://schemas.openxmlformats.org/officeDocument/2006/relationships/footer" Target="footer26.xml" /><Relationship Id="rId35" Type="http://schemas.openxmlformats.org/officeDocument/2006/relationships/customXml" Target="../customXml/item1.xml" /><Relationship Id="rId36" Type="http://schemas.openxmlformats.org/officeDocument/2006/relationships/hyperlink" Target="https://rosseti.digital/purchases/27/" TargetMode="External"/><Relationship Id="rId37" Type="http://schemas.openxmlformats.org/officeDocument/2006/relationships/hyperlink" Target="https://internet.garant.ru/" TargetMode="External"/><Relationship Id="rId38" Type="http://schemas.openxmlformats.org/officeDocument/2006/relationships/hyperlink" Target="https://corp.roseltorg.ru/" TargetMode="External"/><Relationship Id="rId39" Type="http://schemas.openxmlformats.org/officeDocument/2006/relationships/hyperlink" Target="consultantplus://offline/ref=5126373A6C0DC5BE1AE5BF247482912E1BCBC98009FFC480FB735D20C5DBt3K" TargetMode="External"/><Relationship Id="rId40" Type="http://schemas.openxmlformats.org/officeDocument/2006/relationships/hyperlink" Target="consultantplus://offline/ref=D6F78F6F851C034ED1C7ABB4A68893F6BF7DE5685F5D9161D1FC60E77Cu8j8L" TargetMode="External"/><Relationship Id="rId41" Type="http://schemas.openxmlformats.org/officeDocument/2006/relationships/hyperlink" Target="mailto:info@essk.ru" TargetMode="External"/><Relationship Id="rId42" Type="http://schemas.openxmlformats.org/officeDocument/2006/relationships/hyperlink" Target="mailto:e.filippova@essk.ru" TargetMode="External"/><Relationship Id="rId43" Type="http://schemas.openxmlformats.org/officeDocument/2006/relationships/hyperlink" Target="https://internet.garant.ru/" TargetMode="External"/><Relationship Id="rId44" Type="http://schemas.openxmlformats.org/officeDocument/2006/relationships/image" Target="media/image1.png"/><Relationship Id="rId45" Type="http://schemas.openxmlformats.org/officeDocument/2006/relationships/image" Target="media/image2.png"/><Relationship Id="rId46" Type="http://schemas.openxmlformats.org/officeDocument/2006/relationships/image" Target="media/image3.png"/><Relationship Id="rId47" Type="http://schemas.openxmlformats.org/officeDocument/2006/relationships/image" Target="media/image4.png"/><Relationship Id="rId48" Type="http://schemas.openxmlformats.org/officeDocument/2006/relationships/image" Target="media/image5.png"/><Relationship Id="rId49" Type="http://schemas.openxmlformats.org/officeDocument/2006/relationships/image" Target="media/image6.png"/><Relationship Id="rId50"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er9.xml.rels><?xml version="1.0" encoding="UTF-8" standalone="yes"?><Relationships xmlns="http://schemas.openxmlformats.org/package/2006/relationships"></Relationships>
</file>

<file path=word/_rels/footer10.xml.rels><?xml version="1.0" encoding="UTF-8" standalone="yes"?><Relationships xmlns="http://schemas.openxmlformats.org/package/2006/relationships"></Relationships>
</file>

<file path=word/_rels/footer11.xml.rels><?xml version="1.0" encoding="UTF-8" standalone="yes"?><Relationships xmlns="http://schemas.openxmlformats.org/package/2006/relationships"></Relationships>
</file>

<file path=word/_rels/footer12.xml.rels><?xml version="1.0" encoding="UTF-8" standalone="yes"?><Relationships xmlns="http://schemas.openxmlformats.org/package/2006/relationships"></Relationships>
</file>

<file path=word/_rels/footer13.xml.rels><?xml version="1.0" encoding="UTF-8" standalone="yes"?><Relationships xmlns="http://schemas.openxmlformats.org/package/2006/relationships"></Relationships>
</file>

<file path=word/_rels/footer14.xml.rels><?xml version="1.0" encoding="UTF-8" standalone="yes"?><Relationships xmlns="http://schemas.openxmlformats.org/package/2006/relationships"></Relationships>
</file>

<file path=word/_rels/footer15.xml.rels><?xml version="1.0" encoding="UTF-8" standalone="yes"?><Relationships xmlns="http://schemas.openxmlformats.org/package/2006/relationships"></Relationships>
</file>

<file path=word/_rels/footer16.xml.rels><?xml version="1.0" encoding="UTF-8" standalone="yes"?><Relationships xmlns="http://schemas.openxmlformats.org/package/2006/relationships"></Relationships>
</file>

<file path=word/_rels/footer17.xml.rels><?xml version="1.0" encoding="UTF-8" standalone="yes"?><Relationships xmlns="http://schemas.openxmlformats.org/package/2006/relationships"></Relationships>
</file>

<file path=word/_rels/footer18.xml.rels><?xml version="1.0" encoding="UTF-8" standalone="yes"?><Relationships xmlns="http://schemas.openxmlformats.org/package/2006/relationships"></Relationships>
</file>

<file path=word/_rels/footer19.xml.rels><?xml version="1.0" encoding="UTF-8" standalone="yes"?><Relationships xmlns="http://schemas.openxmlformats.org/package/2006/relationships"></Relationships>
</file>

<file path=word/_rels/footer20.xml.rels><?xml version="1.0" encoding="UTF-8" standalone="yes"?><Relationships xmlns="http://schemas.openxmlformats.org/package/2006/relationships"></Relationships>
</file>

<file path=word/_rels/footer21.xml.rels><?xml version="1.0" encoding="UTF-8" standalone="yes"?><Relationships xmlns="http://schemas.openxmlformats.org/package/2006/relationships"></Relationships>
</file>

<file path=word/_rels/footer22.xml.rels><?xml version="1.0" encoding="UTF-8" standalone="yes"?><Relationships xmlns="http://schemas.openxmlformats.org/package/2006/relationships"></Relationships>
</file>

<file path=word/_rels/footer23.xml.rels><?xml version="1.0" encoding="UTF-8" standalone="yes"?><Relationships xmlns="http://schemas.openxmlformats.org/package/2006/relationships"></Relationships>
</file>

<file path=word/_rels/footer24.xml.rels><?xml version="1.0" encoding="UTF-8" standalone="yes"?><Relationships xmlns="http://schemas.openxmlformats.org/package/2006/relationships"></Relationships>
</file>

<file path=word/_rels/footer25.xml.rels><?xml version="1.0" encoding="UTF-8" standalone="yes"?><Relationships xmlns="http://schemas.openxmlformats.org/package/2006/relationships"></Relationships>
</file>

<file path=word/_rels/footer26.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BABC1C-327B-46CF-A05C-D6C6C5DB4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Институт госзакупок РАГС</Company>
  <DocSecurity>0</DocSecurity>
  <HyperlinksChanged>false</HyperlinksChanged>
  <LinksUpToDate>false</LinksUpToDate>
  <Manager>Храмкин А.А.</Manager>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subject/>
  <dc:creator>Институт госзакупок</dc:creator>
  <dc:description/>
  <dc:language>ru-RU</dc:language>
  <cp:lastModifiedBy>e.filippova</cp:lastModifiedBy>
  <cp:revision>26</cp:revision>
  <dcterms:created xsi:type="dcterms:W3CDTF">2026-06-05T12:37:00Z</dcterms:created>
  <dcterms:modified xsi:type="dcterms:W3CDTF">2026-10-16T14:00:45Z</dcterms:modified>
</cp:coreProperties>
</file>