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490" w:rsidRDefault="004B4490">
      <w:pPr>
        <w:rPr>
          <w:sz w:val="28"/>
          <w:szCs w:val="28"/>
        </w:rPr>
      </w:pPr>
    </w:p>
    <w:p w:rsidR="004B4490" w:rsidRDefault="004B4490">
      <w:pPr>
        <w:rPr>
          <w:sz w:val="28"/>
          <w:szCs w:val="28"/>
        </w:rPr>
      </w:pPr>
    </w:p>
    <w:p w:rsidR="004B4490" w:rsidRDefault="004B4490">
      <w:pPr>
        <w:rPr>
          <w:sz w:val="28"/>
          <w:szCs w:val="28"/>
        </w:rPr>
      </w:pPr>
    </w:p>
    <w:p w:rsidR="004B4490" w:rsidRDefault="004B4490">
      <w:pPr>
        <w:rPr>
          <w:sz w:val="28"/>
          <w:szCs w:val="28"/>
        </w:rPr>
      </w:pPr>
    </w:p>
    <w:p w:rsidR="004B4490" w:rsidRDefault="004B4490">
      <w:pPr>
        <w:rPr>
          <w:sz w:val="28"/>
          <w:szCs w:val="28"/>
        </w:rPr>
      </w:pPr>
    </w:p>
    <w:p w:rsidR="004B4490" w:rsidRDefault="004B4490">
      <w:pPr>
        <w:rPr>
          <w:sz w:val="28"/>
          <w:szCs w:val="28"/>
        </w:rPr>
      </w:pPr>
    </w:p>
    <w:p w:rsidR="004B4490" w:rsidRDefault="004B4490">
      <w:pPr>
        <w:rPr>
          <w:sz w:val="28"/>
          <w:szCs w:val="28"/>
        </w:rPr>
      </w:pPr>
    </w:p>
    <w:p w:rsidR="004B4490" w:rsidRDefault="004B4490">
      <w:pPr>
        <w:rPr>
          <w:sz w:val="28"/>
          <w:szCs w:val="28"/>
        </w:rPr>
      </w:pPr>
    </w:p>
    <w:p w:rsidR="004B4490" w:rsidRDefault="004B4490">
      <w:pPr>
        <w:rPr>
          <w:sz w:val="28"/>
          <w:szCs w:val="28"/>
        </w:rPr>
      </w:pPr>
    </w:p>
    <w:p w:rsidR="00F450D7" w:rsidRDefault="00F450D7" w:rsidP="00F450D7">
      <w:pPr>
        <w:widowControl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Техническое задание</w:t>
      </w:r>
    </w:p>
    <w:p w:rsidR="00F450D7" w:rsidRDefault="00F450D7" w:rsidP="00F450D7">
      <w:pPr>
        <w:widowControl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ТОМ 2</w:t>
      </w:r>
    </w:p>
    <w:p w:rsidR="00F450D7" w:rsidRDefault="00F450D7" w:rsidP="00F450D7">
      <w:pPr>
        <w:widowControl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(Техническая часть)</w:t>
      </w:r>
    </w:p>
    <w:p w:rsidR="004B4490" w:rsidRDefault="004B4490">
      <w:pPr>
        <w:widowControl w:val="0"/>
        <w:jc w:val="center"/>
        <w:rPr>
          <w:b/>
          <w:bCs/>
          <w:sz w:val="32"/>
          <w:szCs w:val="32"/>
        </w:rPr>
      </w:pPr>
    </w:p>
    <w:p w:rsidR="004B4490" w:rsidRDefault="00F450D7">
      <w:pPr>
        <w:widowControl w:val="0"/>
        <w:jc w:val="center"/>
        <w:rPr>
          <w:b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 xml:space="preserve">на </w:t>
      </w:r>
      <w:r>
        <w:rPr>
          <w:b/>
          <w:bCs/>
          <w:sz w:val="32"/>
          <w:szCs w:val="32"/>
          <w:highlight w:val="white"/>
        </w:rPr>
        <w:t>п</w:t>
      </w:r>
      <w:r>
        <w:rPr>
          <w:b/>
          <w:bCs/>
          <w:color w:val="000000"/>
          <w:sz w:val="32"/>
          <w:szCs w:val="32"/>
        </w:rPr>
        <w:t xml:space="preserve">редоставление права на использование </w:t>
      </w:r>
    </w:p>
    <w:p w:rsidR="00F450D7" w:rsidRDefault="00F450D7" w:rsidP="00F450D7">
      <w:pPr>
        <w:widowControl w:val="0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32"/>
          <w:szCs w:val="32"/>
        </w:rPr>
        <w:t>программного обеспечения «ГРАНД-Смета»</w:t>
      </w:r>
      <w:r w:rsidRPr="00F450D7">
        <w:rPr>
          <w:b/>
          <w:sz w:val="28"/>
          <w:szCs w:val="28"/>
        </w:rPr>
        <w:t xml:space="preserve"> </w:t>
      </w:r>
    </w:p>
    <w:p w:rsidR="00F450D7" w:rsidRPr="00F450D7" w:rsidRDefault="00F450D7" w:rsidP="00F450D7">
      <w:pPr>
        <w:widowControl w:val="0"/>
        <w:jc w:val="center"/>
        <w:rPr>
          <w:b/>
          <w:bCs/>
          <w:color w:val="000000"/>
          <w:sz w:val="32"/>
          <w:szCs w:val="32"/>
        </w:rPr>
      </w:pPr>
      <w:r w:rsidRPr="00F450D7">
        <w:rPr>
          <w:b/>
          <w:bCs/>
          <w:color w:val="000000"/>
          <w:sz w:val="32"/>
          <w:szCs w:val="32"/>
        </w:rPr>
        <w:t>для нужд АО «Россети ЦИУС ЕЭС»</w:t>
      </w:r>
    </w:p>
    <w:p w:rsidR="004B4490" w:rsidRDefault="004B4490">
      <w:pPr>
        <w:widowControl w:val="0"/>
        <w:jc w:val="center"/>
        <w:rPr>
          <w:b/>
          <w:color w:val="000000"/>
          <w:sz w:val="32"/>
          <w:szCs w:val="32"/>
        </w:rPr>
      </w:pPr>
    </w:p>
    <w:p w:rsidR="004B4490" w:rsidRDefault="004B4490">
      <w:pPr>
        <w:widowControl w:val="0"/>
        <w:jc w:val="center"/>
        <w:rPr>
          <w:b/>
          <w:bCs/>
          <w:sz w:val="32"/>
          <w:szCs w:val="32"/>
        </w:rPr>
      </w:pPr>
    </w:p>
    <w:p w:rsidR="004B4490" w:rsidRDefault="004B4490">
      <w:pPr>
        <w:widowControl w:val="0"/>
        <w:jc w:val="center"/>
        <w:rPr>
          <w:b/>
          <w:bCs/>
          <w:sz w:val="32"/>
          <w:szCs w:val="32"/>
        </w:rPr>
      </w:pPr>
    </w:p>
    <w:p w:rsidR="004B4490" w:rsidRDefault="004B4490">
      <w:pPr>
        <w:contextualSpacing/>
        <w:jc w:val="center"/>
        <w:rPr>
          <w:bCs/>
          <w:sz w:val="28"/>
          <w:szCs w:val="28"/>
        </w:rPr>
      </w:pPr>
    </w:p>
    <w:p w:rsidR="004B4490" w:rsidRDefault="004B4490">
      <w:pPr>
        <w:contextualSpacing/>
        <w:jc w:val="center"/>
        <w:rPr>
          <w:bCs/>
          <w:sz w:val="28"/>
          <w:szCs w:val="28"/>
        </w:rPr>
      </w:pPr>
    </w:p>
    <w:p w:rsidR="004B4490" w:rsidRDefault="004B4490">
      <w:pPr>
        <w:contextualSpacing/>
        <w:jc w:val="center"/>
        <w:rPr>
          <w:bCs/>
          <w:sz w:val="28"/>
          <w:szCs w:val="28"/>
        </w:rPr>
      </w:pPr>
    </w:p>
    <w:p w:rsidR="004B4490" w:rsidRDefault="004B4490">
      <w:pPr>
        <w:contextualSpacing/>
        <w:jc w:val="center"/>
        <w:rPr>
          <w:bCs/>
          <w:sz w:val="28"/>
          <w:szCs w:val="28"/>
        </w:rPr>
      </w:pPr>
    </w:p>
    <w:p w:rsidR="004B4490" w:rsidRDefault="004B4490">
      <w:pPr>
        <w:contextualSpacing/>
        <w:jc w:val="center"/>
        <w:rPr>
          <w:bCs/>
          <w:sz w:val="28"/>
          <w:szCs w:val="28"/>
        </w:rPr>
      </w:pPr>
    </w:p>
    <w:p w:rsidR="004B4490" w:rsidRDefault="004B4490">
      <w:pPr>
        <w:contextualSpacing/>
        <w:jc w:val="center"/>
        <w:rPr>
          <w:bCs/>
          <w:sz w:val="28"/>
          <w:szCs w:val="28"/>
        </w:rPr>
      </w:pPr>
    </w:p>
    <w:p w:rsidR="004B4490" w:rsidRDefault="004B4490">
      <w:pPr>
        <w:contextualSpacing/>
        <w:jc w:val="center"/>
        <w:rPr>
          <w:bCs/>
          <w:sz w:val="28"/>
          <w:szCs w:val="28"/>
        </w:rPr>
      </w:pPr>
    </w:p>
    <w:p w:rsidR="004B4490" w:rsidRDefault="004B4490">
      <w:pPr>
        <w:contextualSpacing/>
        <w:rPr>
          <w:bCs/>
          <w:sz w:val="28"/>
          <w:szCs w:val="28"/>
        </w:rPr>
      </w:pPr>
    </w:p>
    <w:p w:rsidR="004B4490" w:rsidRDefault="004B4490">
      <w:pPr>
        <w:contextualSpacing/>
        <w:rPr>
          <w:bCs/>
          <w:sz w:val="28"/>
          <w:szCs w:val="28"/>
        </w:rPr>
      </w:pPr>
    </w:p>
    <w:p w:rsidR="004B4490" w:rsidRDefault="004B4490">
      <w:pPr>
        <w:contextualSpacing/>
        <w:rPr>
          <w:bCs/>
          <w:sz w:val="28"/>
          <w:szCs w:val="28"/>
        </w:rPr>
      </w:pPr>
    </w:p>
    <w:p w:rsidR="004B4490" w:rsidRDefault="004B4490">
      <w:pPr>
        <w:contextualSpacing/>
        <w:rPr>
          <w:bCs/>
          <w:sz w:val="28"/>
          <w:szCs w:val="28"/>
        </w:rPr>
      </w:pPr>
    </w:p>
    <w:p w:rsidR="004B4490" w:rsidRDefault="004B4490">
      <w:pPr>
        <w:contextualSpacing/>
        <w:rPr>
          <w:bCs/>
          <w:sz w:val="28"/>
          <w:szCs w:val="28"/>
        </w:rPr>
      </w:pPr>
    </w:p>
    <w:p w:rsidR="004B4490" w:rsidRDefault="004B4490">
      <w:pPr>
        <w:contextualSpacing/>
        <w:rPr>
          <w:bCs/>
          <w:sz w:val="28"/>
          <w:szCs w:val="28"/>
        </w:rPr>
      </w:pPr>
    </w:p>
    <w:p w:rsidR="004B4490" w:rsidRDefault="004B4490">
      <w:pPr>
        <w:contextualSpacing/>
        <w:rPr>
          <w:bCs/>
          <w:sz w:val="28"/>
          <w:szCs w:val="28"/>
        </w:rPr>
      </w:pPr>
    </w:p>
    <w:p w:rsidR="004B4490" w:rsidRDefault="004B4490">
      <w:pPr>
        <w:contextualSpacing/>
        <w:rPr>
          <w:bCs/>
          <w:sz w:val="28"/>
          <w:szCs w:val="28"/>
        </w:rPr>
      </w:pPr>
    </w:p>
    <w:p w:rsidR="004B4490" w:rsidRDefault="004B4490">
      <w:pPr>
        <w:contextualSpacing/>
        <w:rPr>
          <w:bCs/>
          <w:sz w:val="28"/>
          <w:szCs w:val="28"/>
        </w:rPr>
      </w:pPr>
    </w:p>
    <w:p w:rsidR="004B4490" w:rsidRDefault="004B4490">
      <w:pPr>
        <w:contextualSpacing/>
        <w:rPr>
          <w:bCs/>
          <w:sz w:val="28"/>
          <w:szCs w:val="28"/>
        </w:rPr>
      </w:pPr>
    </w:p>
    <w:p w:rsidR="004B4490" w:rsidRDefault="004B4490">
      <w:pPr>
        <w:contextualSpacing/>
        <w:rPr>
          <w:bCs/>
          <w:sz w:val="28"/>
          <w:szCs w:val="28"/>
        </w:rPr>
      </w:pPr>
    </w:p>
    <w:p w:rsidR="004B4490" w:rsidRDefault="004B4490">
      <w:pPr>
        <w:contextualSpacing/>
        <w:rPr>
          <w:bCs/>
          <w:sz w:val="28"/>
          <w:szCs w:val="28"/>
        </w:rPr>
      </w:pPr>
    </w:p>
    <w:p w:rsidR="004B4490" w:rsidRDefault="004B4490">
      <w:pPr>
        <w:contextualSpacing/>
        <w:rPr>
          <w:bCs/>
          <w:sz w:val="28"/>
          <w:szCs w:val="28"/>
        </w:rPr>
      </w:pPr>
    </w:p>
    <w:p w:rsidR="004B4490" w:rsidRDefault="004B4490">
      <w:pPr>
        <w:jc w:val="center"/>
        <w:rPr>
          <w:b/>
          <w:sz w:val="32"/>
          <w:szCs w:val="32"/>
        </w:rPr>
      </w:pPr>
    </w:p>
    <w:p w:rsidR="004B4490" w:rsidRDefault="004B4490">
      <w:pPr>
        <w:jc w:val="center"/>
        <w:rPr>
          <w:b/>
          <w:sz w:val="32"/>
          <w:szCs w:val="32"/>
        </w:rPr>
      </w:pPr>
    </w:p>
    <w:p w:rsidR="004B4490" w:rsidRDefault="004B4490">
      <w:pPr>
        <w:jc w:val="center"/>
        <w:rPr>
          <w:b/>
          <w:sz w:val="28"/>
          <w:szCs w:val="28"/>
        </w:rPr>
      </w:pPr>
    </w:p>
    <w:p w:rsidR="004B4490" w:rsidRDefault="00F450D7">
      <w:pPr>
        <w:pStyle w:val="11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Москва 2026</w:t>
      </w:r>
    </w:p>
    <w:p w:rsidR="004B4490" w:rsidRDefault="004B4490">
      <w:pPr>
        <w:pStyle w:val="af9"/>
        <w:tabs>
          <w:tab w:val="left" w:pos="567"/>
        </w:tabs>
        <w:jc w:val="left"/>
        <w:rPr>
          <w:b/>
          <w:sz w:val="26"/>
          <w:szCs w:val="26"/>
        </w:rPr>
      </w:pPr>
    </w:p>
    <w:p w:rsidR="004B4490" w:rsidRDefault="00F450D7">
      <w:pPr>
        <w:pStyle w:val="af9"/>
        <w:tabs>
          <w:tab w:val="left" w:pos="567"/>
        </w:tabs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  <w:t>Общая информация</w:t>
      </w:r>
    </w:p>
    <w:p w:rsidR="004B4490" w:rsidRDefault="004B4490">
      <w:pPr>
        <w:pStyle w:val="af9"/>
        <w:tabs>
          <w:tab w:val="left" w:pos="567"/>
        </w:tabs>
        <w:jc w:val="both"/>
        <w:rPr>
          <w:b/>
          <w:sz w:val="26"/>
          <w:szCs w:val="26"/>
        </w:rPr>
      </w:pPr>
    </w:p>
    <w:p w:rsidR="004B4490" w:rsidRDefault="00F450D7">
      <w:pPr>
        <w:pStyle w:val="af9"/>
        <w:tabs>
          <w:tab w:val="left" w:pos="567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Состав: </w:t>
      </w:r>
      <w:r>
        <w:rPr>
          <w:sz w:val="26"/>
          <w:szCs w:val="26"/>
        </w:rPr>
        <w:t>П</w:t>
      </w:r>
      <w:r>
        <w:rPr>
          <w:color w:val="000000"/>
        </w:rPr>
        <w:t>редоставление права на использование программного обеспечения «ГРАНД-Смета»</w:t>
      </w:r>
      <w:r>
        <w:rPr>
          <w:sz w:val="26"/>
          <w:szCs w:val="26"/>
        </w:rPr>
        <w:t xml:space="preserve"> для нужд АО «</w:t>
      </w:r>
      <w:r>
        <w:rPr>
          <w:sz w:val="26"/>
          <w:szCs w:val="26"/>
        </w:rPr>
        <w:t xml:space="preserve">Россети </w:t>
      </w:r>
      <w:r>
        <w:rPr>
          <w:sz w:val="26"/>
          <w:szCs w:val="26"/>
        </w:rPr>
        <w:t>ЦИУС ЕЭС» в соответствии с требованиями</w:t>
      </w:r>
      <w:r>
        <w:rPr>
          <w:sz w:val="26"/>
          <w:szCs w:val="26"/>
        </w:rPr>
        <w:t xml:space="preserve"> настоящего</w:t>
      </w:r>
      <w:r>
        <w:rPr>
          <w:sz w:val="26"/>
          <w:szCs w:val="26"/>
        </w:rPr>
        <w:t xml:space="preserve"> Технического задания;</w:t>
      </w:r>
    </w:p>
    <w:p w:rsidR="004B4490" w:rsidRDefault="00F450D7">
      <w:pPr>
        <w:pStyle w:val="af9"/>
        <w:tabs>
          <w:tab w:val="left" w:pos="567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Срок передачи прав</w:t>
      </w:r>
      <w:r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не позднее 5 рабочих дней с даты подписания Договора;</w:t>
      </w:r>
    </w:p>
    <w:p w:rsidR="004B4490" w:rsidRDefault="00F450D7">
      <w:pPr>
        <w:pStyle w:val="aff2"/>
        <w:spacing w:line="240" w:lineRule="auto"/>
        <w:ind w:left="0" w:firstLine="0"/>
        <w:rPr>
          <w:sz w:val="26"/>
          <w:szCs w:val="26"/>
          <w:lang w:eastAsia="ru-RU"/>
        </w:rPr>
      </w:pPr>
      <w:r>
        <w:rPr>
          <w:b/>
          <w:sz w:val="26"/>
          <w:szCs w:val="26"/>
        </w:rPr>
        <w:t xml:space="preserve">Место передачи прав: </w:t>
      </w:r>
      <w:r>
        <w:rPr>
          <w:sz w:val="26"/>
          <w:szCs w:val="26"/>
          <w:lang w:eastAsia="ru-RU"/>
        </w:rPr>
        <w:t>(офис АО «Россети ЦИУС ЕЭС»: г. Москва, улица Беловежская дом 4, блок Б).</w:t>
      </w:r>
    </w:p>
    <w:p w:rsidR="004B4490" w:rsidRDefault="004B4490">
      <w:pPr>
        <w:pStyle w:val="aff2"/>
        <w:spacing w:line="240" w:lineRule="auto"/>
        <w:ind w:left="0" w:firstLine="0"/>
        <w:rPr>
          <w:b/>
          <w:sz w:val="26"/>
          <w:szCs w:val="26"/>
          <w:lang w:eastAsia="ru-RU"/>
        </w:rPr>
      </w:pPr>
    </w:p>
    <w:p w:rsidR="004B4490" w:rsidRDefault="004B4490">
      <w:pPr>
        <w:pStyle w:val="11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4B4490" w:rsidRDefault="00F450D7">
      <w:pPr>
        <w:widowControl w:val="0"/>
        <w:contextualSpacing/>
        <w:rPr>
          <w:b/>
          <w:sz w:val="26"/>
          <w:szCs w:val="26"/>
        </w:rPr>
      </w:pPr>
      <w:r w:rsidRPr="00F450D7">
        <w:rPr>
          <w:b/>
          <w:sz w:val="26"/>
          <w:szCs w:val="26"/>
          <w:u w:val="single"/>
        </w:rPr>
        <w:t>Требования к ПО</w:t>
      </w:r>
      <w:r>
        <w:rPr>
          <w:b/>
          <w:sz w:val="26"/>
          <w:szCs w:val="26"/>
        </w:rPr>
        <w:t>:</w:t>
      </w:r>
    </w:p>
    <w:p w:rsidR="004B4490" w:rsidRDefault="004B4490">
      <w:pPr>
        <w:widowControl w:val="0"/>
        <w:contextualSpacing/>
        <w:rPr>
          <w:sz w:val="26"/>
          <w:szCs w:val="26"/>
        </w:rPr>
      </w:pPr>
    </w:p>
    <w:p w:rsidR="004B4490" w:rsidRDefault="00F450D7">
      <w:pPr>
        <w:widowControl w:val="0"/>
        <w:numPr>
          <w:ilvl w:val="0"/>
          <w:numId w:val="3"/>
        </w:num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Состав программного обеспечения:</w:t>
      </w:r>
    </w:p>
    <w:p w:rsidR="004B4490" w:rsidRDefault="004B4490">
      <w:pPr>
        <w:widowControl w:val="0"/>
        <w:ind w:firstLine="708"/>
        <w:contextualSpacing/>
        <w:jc w:val="both"/>
        <w:rPr>
          <w:sz w:val="26"/>
          <w:szCs w:val="26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8"/>
        <w:gridCol w:w="7025"/>
        <w:gridCol w:w="1873"/>
      </w:tblGrid>
      <w:tr w:rsidR="004B4490" w:rsidTr="00F450D7">
        <w:trPr>
          <w:trHeight w:val="44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4B4490" w:rsidRDefault="00F450D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4B4490" w:rsidRDefault="00F450D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передаваемых прав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4B4490" w:rsidRDefault="00F450D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Количество</w:t>
            </w:r>
          </w:p>
        </w:tc>
      </w:tr>
      <w:tr w:rsidR="004B4490">
        <w:trPr>
          <w:trHeight w:val="597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4490" w:rsidRDefault="00F450D7">
            <w:r>
              <w:rPr>
                <w:color w:val="000000"/>
              </w:rPr>
              <w:t>Право на использование программы для ЭВМ «ГРАНД-Смета», версия 2026.2, флеш (Одно рабочее место, артикул О5128, Запись в Реестре Российского ПО №11163)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44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БД «ФСНБ-2022 в формате программы для ЭВМ «ГРАНД-Смета»» (с Изм.1</w:t>
            </w:r>
            <w:bookmarkStart w:id="0" w:name="_GoBack"/>
            <w:bookmarkEnd w:id="0"/>
            <w:r>
              <w:rPr>
                <w:color w:val="000000"/>
              </w:rPr>
              <w:t>-19, Одно рабочее место, артикул О5141, Запись в Реестре Российского ПО №16408)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44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новых версий БД «ФСНБ-2022 в формате программы для ЭВМ «ГРАНД-Смета»», выпущенных в течение года (актуализация, Одно рабочее место, артикул О4636, Запись в Реестре Российского ПО №16408)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44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БД «ГЭСН-2020, ФЕ</w:t>
            </w:r>
            <w:r>
              <w:rPr>
                <w:color w:val="000000"/>
              </w:rPr>
              <w:t>Р-2020 в формате программы для ЭВМ «Программный комплекс «ГРАНД-Смета»» (с Изм.1-9, Одно рабочее место, артикул О4373, Запись в Реестре Российского ПО №12211)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44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 xml:space="preserve">Право на использование БД «Справочники базовых цен на проектные работы для строительства в </w:t>
            </w:r>
            <w:r>
              <w:rPr>
                <w:color w:val="000000"/>
              </w:rPr>
              <w:t>формате программы для ЭВМ «Программный комплекс «ГРАНД-Смета»» (поставщик информации: ОАО "ЦЕНТРИНВЕСТпроект") (Одно рабочее место, артикул О1934, Запись в Реестре Российского ПО №20152)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24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новых версий БД «Справочники базовых цен</w:t>
            </w:r>
            <w:r>
              <w:rPr>
                <w:color w:val="000000"/>
              </w:rPr>
              <w:t xml:space="preserve"> на проектные работы для строительства в формате программы для ЭВМ «Программный комплекс «ГРАНД-Смета»», выпущенных в течение года (поставщик информации: ОАО "ЦЕНТРИНВЕСТпроект") (Одно рабочее место, артикул О4783, Запись в Реестре Российского ПО №20152)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дополнительных функциональных возможностей программы для ЭВМ «ГРАНД-Смета»: работа в совместимых с программой «ГРАНД-Смета» операционных системах Linux (Одно рабочее место, артикул О4770, Запись в Реестре Российского ПО №11163)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44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новых версий программы для ЭВМ «ГРАНД-Смета», выпущенных в течение года (Одно рабочее место, артикул О4771, Запись в Реестре Российского ПО №11163)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44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БД «Ведомственные и отраслевые нормативы» в формат</w:t>
            </w:r>
            <w:r>
              <w:rPr>
                <w:color w:val="000000"/>
              </w:rPr>
              <w:t>е программы для ЭВМ «ГРАНД-Смета». Раздел «Министерство энергетики» (база данных, Одно рабочее место, артикул О3917, Запись в Реестре Российского ПО №17666)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БД «Укрупненные нормативы» в формате программы для ЭВМ «ГРАНД-Смета» (</w:t>
            </w:r>
            <w:r>
              <w:rPr>
                <w:color w:val="000000"/>
              </w:rPr>
              <w:t>НЦС-2026) (Одно рабочее место, артикул О5113, Запись в Реестре Российского ПО №17625)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БД «ГРАНД-СтройМатериалы в формате программы для ЭВМ «ГРАНД-Смета» (Одно рабочее место, артикул О1227, Запись в Реестре Российского ПО №17627)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новых версий БД «ГРАНД-СтройМатериалы в формате программы для</w:t>
            </w:r>
            <w:r>
              <w:rPr>
                <w:color w:val="000000"/>
              </w:rPr>
              <w:t xml:space="preserve"> ЭВМ «ГРАНД-Смета», выпущенных в течение года (Одно рабочее место, артикул О1593, Запись в Реестре Российского ПО №17627)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БД «Ведомственные и отраслевые нормативы» в формате программы для ЭВМ «ГРАНД-Смета». Раздел «Базовые цены</w:t>
            </w:r>
            <w:r>
              <w:rPr>
                <w:color w:val="000000"/>
              </w:rPr>
              <w:t xml:space="preserve"> на работы по ремонту энергетического оборудования» Части 1-22 с Доп. 1-14 с систематизированным обзором разъяснений по вопросам применения за 2004-2018 гг. (Одно рабочее место, артикул О4684, Запись в Реестре Российского ПО №17666)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 xml:space="preserve">Право на использование БД «Территориальные единичные расценки (ТЕР) по субъектам РФ в редакции 2014 года в формате программы для ЭВМ «ГРАНД-Смета»». Раздел «Республика Северная Осетия - Алания» (№ 14729 255, база данных, Одно рабочее место, артикул О3076, </w:t>
            </w:r>
            <w:r>
              <w:rPr>
                <w:color w:val="000000"/>
              </w:rPr>
              <w:t>Запись в Реестре Российского ПО №16062)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БД «Территориальные единичные расценки (ТЕР) по субъектам РФ в редакции 2014 года в формате программы для ЭВМ «ГРАНД-Смета»». Раздел «Новгородская область» (база данных, Одно рабочее место, артикул О1992, Запись в Реестре Российского</w:t>
            </w:r>
            <w:r>
              <w:rPr>
                <w:color w:val="000000"/>
              </w:rPr>
              <w:t xml:space="preserve"> ПО №16062)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БД «Территориальные единичные расценки (ТЕР) по субъектам РФ в редакции 2014 года в формате программы для ЭВМ «ГРАНД-Смета»». Раздел «Брянская область» (база данных, включая И2, Одно рабочее место, артикул О2007, За</w:t>
            </w:r>
            <w:r>
              <w:rPr>
                <w:color w:val="000000"/>
              </w:rPr>
              <w:t>пись в Реестре Российского ПО №16062)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БД «Территориальные единичные расценки (ТЕР) по субъектам РФ в редакции 2014 года в формате программы для ЭВМ «ГРАНД-Смета»». Раздел «Республика Карелия» (поставщик информации: ООО "РЦЦС Ре</w:t>
            </w:r>
            <w:r>
              <w:rPr>
                <w:color w:val="000000"/>
              </w:rPr>
              <w:t>спублики Карелия") (база данных, включая И1, Одно рабочее место, артикул О4410, Запись в Реестре Российского ПО №16062)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БД «Территориальные единичные расценки (ТЕР) по субъектам РФ в редакции 2014 года в формате программы для Э</w:t>
            </w:r>
            <w:r>
              <w:rPr>
                <w:color w:val="000000"/>
              </w:rPr>
              <w:t>ВМ «ГРАНД-Смета»». Раздел «Республика Коми» (поставщик информации: АУ РК «Управление госэкспертизы РК») (база данных, Одно рабочее место, артикул О1988, Запись в Реестре Российского ПО №16062)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 xml:space="preserve">Право на использование БД «Территориальные единичные расценки (ТЕР) по субъектам РФ в редакции 2014 года в формате </w:t>
            </w:r>
            <w:r>
              <w:rPr>
                <w:color w:val="000000"/>
              </w:rPr>
              <w:lastRenderedPageBreak/>
              <w:t>программы для ЭВМ «ГРАНД-Смета»». Раздел «Ленинградская область» (поставщик информации: ООО "ЦИНИНС") (база данных, Одно рабочее место, артик</w:t>
            </w:r>
            <w:r>
              <w:rPr>
                <w:color w:val="000000"/>
              </w:rPr>
              <w:t>ул О2069, Запись в Реестре Российского ПО №16062)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БД «Территориальные единичные расценки (ТЕР) по субъектам РФ в редакции 2014 года в формате программы для ЭВМ «ГРАНД-Смета»». Раздел «Смоленская область» (база данных, Одно рабо</w:t>
            </w:r>
            <w:r>
              <w:rPr>
                <w:color w:val="000000"/>
              </w:rPr>
              <w:t>чее место, артикул О2827, Запись в Реестре Российского ПО №16062)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B4490">
        <w:trPr>
          <w:trHeight w:val="5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7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4B4490" w:rsidRDefault="00F450D7">
            <w:r>
              <w:rPr>
                <w:color w:val="000000"/>
              </w:rPr>
              <w:t>Право на использование БД «Территориальные единичные расценки (ТЕР) по субъектам РФ в редакции 2014 года в формате программы для ЭВМ «ГРАНД-Смета»». Раздел «г. Санкт-Петербург» (постав</w:t>
            </w:r>
            <w:r>
              <w:rPr>
                <w:color w:val="000000"/>
              </w:rPr>
              <w:t>щик информации: ООО "Союз инженеров-сметчиков") (Одно рабочее место, артикул О1449, Запись в Реестре Российского ПО №16062)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4B4490" w:rsidRDefault="00F450D7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</w:tbl>
    <w:p w:rsidR="004B4490" w:rsidRDefault="004B4490">
      <w:pPr>
        <w:widowControl w:val="0"/>
        <w:contextualSpacing/>
        <w:jc w:val="both"/>
        <w:rPr>
          <w:sz w:val="26"/>
          <w:szCs w:val="26"/>
        </w:rPr>
      </w:pPr>
    </w:p>
    <w:p w:rsidR="004B4490" w:rsidRDefault="004B4490">
      <w:pPr>
        <w:widowControl w:val="0"/>
        <w:ind w:firstLine="709"/>
        <w:contextualSpacing/>
        <w:jc w:val="both"/>
        <w:rPr>
          <w:sz w:val="26"/>
          <w:szCs w:val="26"/>
        </w:rPr>
      </w:pPr>
    </w:p>
    <w:p w:rsidR="004B4490" w:rsidRDefault="00F450D7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2) Программное обеспечение должно быть совместимо с ОС Альт Рабочая станция.</w:t>
      </w:r>
    </w:p>
    <w:p w:rsidR="004B4490" w:rsidRDefault="004B4490">
      <w:pPr>
        <w:widowControl w:val="0"/>
        <w:ind w:firstLine="709"/>
        <w:contextualSpacing/>
        <w:jc w:val="both"/>
        <w:rPr>
          <w:sz w:val="26"/>
          <w:szCs w:val="26"/>
        </w:rPr>
      </w:pPr>
    </w:p>
    <w:sectPr w:rsidR="004B4490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490" w:rsidRDefault="00F450D7">
      <w:r>
        <w:separator/>
      </w:r>
    </w:p>
  </w:endnote>
  <w:endnote w:type="continuationSeparator" w:id="0">
    <w:p w:rsidR="004B4490" w:rsidRDefault="00F45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490" w:rsidRDefault="00F450D7">
      <w:r>
        <w:separator/>
      </w:r>
    </w:p>
  </w:footnote>
  <w:footnote w:type="continuationSeparator" w:id="0">
    <w:p w:rsidR="004B4490" w:rsidRDefault="00F45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A0F04"/>
    <w:multiLevelType w:val="hybridMultilevel"/>
    <w:tmpl w:val="8E9ED3D4"/>
    <w:lvl w:ilvl="0" w:tplc="F0E62AF8">
      <w:start w:val="1"/>
      <w:numFmt w:val="decimal"/>
      <w:lvlText w:val="%1)"/>
      <w:lvlJc w:val="left"/>
      <w:pPr>
        <w:ind w:left="1417" w:hanging="360"/>
      </w:pPr>
    </w:lvl>
    <w:lvl w:ilvl="1" w:tplc="B088BE68">
      <w:start w:val="1"/>
      <w:numFmt w:val="lowerLetter"/>
      <w:lvlText w:val="%2."/>
      <w:lvlJc w:val="left"/>
      <w:pPr>
        <w:ind w:left="2137" w:hanging="360"/>
      </w:pPr>
    </w:lvl>
    <w:lvl w:ilvl="2" w:tplc="2C227B70">
      <w:start w:val="1"/>
      <w:numFmt w:val="lowerRoman"/>
      <w:lvlText w:val="%3."/>
      <w:lvlJc w:val="right"/>
      <w:pPr>
        <w:ind w:left="2857" w:hanging="180"/>
      </w:pPr>
    </w:lvl>
    <w:lvl w:ilvl="3" w:tplc="D8FA739A">
      <w:start w:val="1"/>
      <w:numFmt w:val="decimal"/>
      <w:lvlText w:val="%4."/>
      <w:lvlJc w:val="left"/>
      <w:pPr>
        <w:ind w:left="3577" w:hanging="360"/>
      </w:pPr>
    </w:lvl>
    <w:lvl w:ilvl="4" w:tplc="60E462F2">
      <w:start w:val="1"/>
      <w:numFmt w:val="lowerLetter"/>
      <w:lvlText w:val="%5."/>
      <w:lvlJc w:val="left"/>
      <w:pPr>
        <w:ind w:left="4297" w:hanging="360"/>
      </w:pPr>
    </w:lvl>
    <w:lvl w:ilvl="5" w:tplc="6E30BB92">
      <w:start w:val="1"/>
      <w:numFmt w:val="lowerRoman"/>
      <w:lvlText w:val="%6."/>
      <w:lvlJc w:val="right"/>
      <w:pPr>
        <w:ind w:left="5017" w:hanging="180"/>
      </w:pPr>
    </w:lvl>
    <w:lvl w:ilvl="6" w:tplc="4440A88C">
      <w:start w:val="1"/>
      <w:numFmt w:val="decimal"/>
      <w:lvlText w:val="%7."/>
      <w:lvlJc w:val="left"/>
      <w:pPr>
        <w:ind w:left="5737" w:hanging="360"/>
      </w:pPr>
    </w:lvl>
    <w:lvl w:ilvl="7" w:tplc="B1463738">
      <w:start w:val="1"/>
      <w:numFmt w:val="lowerLetter"/>
      <w:lvlText w:val="%8."/>
      <w:lvlJc w:val="left"/>
      <w:pPr>
        <w:ind w:left="6457" w:hanging="360"/>
      </w:pPr>
    </w:lvl>
    <w:lvl w:ilvl="8" w:tplc="ACD276B4">
      <w:start w:val="1"/>
      <w:numFmt w:val="lowerRoman"/>
      <w:lvlText w:val="%9."/>
      <w:lvlJc w:val="right"/>
      <w:pPr>
        <w:ind w:left="7177" w:hanging="180"/>
      </w:pPr>
    </w:lvl>
  </w:abstractNum>
  <w:abstractNum w:abstractNumId="1" w15:restartNumberingAfterBreak="0">
    <w:nsid w:val="38846285"/>
    <w:multiLevelType w:val="hybridMultilevel"/>
    <w:tmpl w:val="B88C7CB6"/>
    <w:lvl w:ilvl="0" w:tplc="F828A2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AECCBF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CB810F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69E400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0EA0ED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58625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E0CA3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D3466D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2D9C149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1A66942"/>
    <w:multiLevelType w:val="multilevel"/>
    <w:tmpl w:val="BC9AF506"/>
    <w:lvl w:ilvl="0">
      <w:start w:val="1"/>
      <w:numFmt w:val="decimal"/>
      <w:pStyle w:val="1"/>
      <w:isLgl/>
      <w:lvlText w:val="%1"/>
      <w:lvlJc w:val="left"/>
      <w:pPr>
        <w:tabs>
          <w:tab w:val="num" w:pos="568"/>
        </w:tabs>
        <w:ind w:left="1000" w:hanging="432"/>
      </w:pPr>
    </w:lvl>
    <w:lvl w:ilvl="1">
      <w:start w:val="1"/>
      <w:numFmt w:val="decimal"/>
      <w:pStyle w:val="2"/>
      <w:isLgl/>
      <w:lvlText w:val="%1.%2"/>
      <w:lvlJc w:val="left"/>
      <w:pPr>
        <w:tabs>
          <w:tab w:val="num" w:pos="3687"/>
        </w:tabs>
        <w:ind w:left="4263" w:hanging="576"/>
      </w:pPr>
    </w:lvl>
    <w:lvl w:ilvl="2">
      <w:start w:val="1"/>
      <w:numFmt w:val="decimal"/>
      <w:pStyle w:val="3"/>
      <w:isLgl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864" w:hanging="864"/>
      </w:pPr>
      <w:rPr>
        <w:b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490"/>
    <w:rsid w:val="004B4490"/>
    <w:rsid w:val="00F4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5ACF"/>
  <w15:docId w15:val="{9DFEDB11-8FE6-4740-BE5F-88DE44BC0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pageBreakBefore/>
      <w:numPr>
        <w:numId w:val="1"/>
      </w:numPr>
      <w:spacing w:before="480" w:after="240"/>
      <w:jc w:val="center"/>
      <w:outlineLvl w:val="0"/>
    </w:pPr>
    <w:rPr>
      <w:b/>
      <w:bCs/>
      <w:szCs w:val="22"/>
      <w:lang w:eastAsia="ar-SA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tabs>
        <w:tab w:val="left" w:pos="1700"/>
      </w:tabs>
      <w:spacing w:before="160" w:after="120" w:line="288" w:lineRule="auto"/>
      <w:jc w:val="center"/>
      <w:outlineLvl w:val="1"/>
    </w:pPr>
    <w:rPr>
      <w:b/>
      <w:bCs/>
      <w:lang w:eastAsia="ar-SA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spacing w:before="120" w:after="120"/>
      <w:jc w:val="center"/>
      <w:outlineLvl w:val="2"/>
    </w:pPr>
    <w:rPr>
      <w:b/>
      <w:bCs/>
      <w:szCs w:val="22"/>
      <w:lang w:eastAsia="ar-SA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ab">
    <w:name w:val="Нижний колонтитул Знак"/>
    <w:basedOn w:val="a0"/>
    <w:link w:val="ac"/>
    <w:uiPriority w:val="99"/>
  </w:style>
  <w:style w:type="character" w:customStyle="1" w:styleId="ad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character" w:customStyle="1" w:styleId="af">
    <w:name w:val="Текст сноски Знак"/>
    <w:link w:val="af0"/>
    <w:uiPriority w:val="99"/>
    <w:rPr>
      <w:sz w:val="18"/>
    </w:rPr>
  </w:style>
  <w:style w:type="character" w:customStyle="1" w:styleId="af1">
    <w:name w:val="Символ сноски"/>
    <w:basedOn w:val="a0"/>
    <w:uiPriority w:val="99"/>
    <w:unhideWhenUsed/>
    <w:rPr>
      <w:vertAlign w:val="superscript"/>
    </w:rPr>
  </w:style>
  <w:style w:type="character" w:styleId="af2">
    <w:name w:val="footnote reference"/>
    <w:uiPriority w:val="99"/>
    <w:rPr>
      <w:vertAlign w:val="superscript"/>
    </w:rPr>
  </w:style>
  <w:style w:type="character" w:customStyle="1" w:styleId="af3">
    <w:name w:val="Текст концевой сноски Знак"/>
    <w:link w:val="af4"/>
    <w:uiPriority w:val="99"/>
    <w:rPr>
      <w:sz w:val="20"/>
    </w:rPr>
  </w:style>
  <w:style w:type="character" w:customStyle="1" w:styleId="af5">
    <w:name w:val="Символ концевой сноски"/>
    <w:basedOn w:val="a0"/>
    <w:uiPriority w:val="99"/>
    <w:semiHidden/>
    <w:unhideWhenUsed/>
    <w:rPr>
      <w:vertAlign w:val="superscript"/>
    </w:rPr>
  </w:style>
  <w:style w:type="character" w:styleId="af6">
    <w:name w:val="endnote reference"/>
    <w:uiPriority w:val="99"/>
    <w:rPr>
      <w:vertAlign w:val="superscript"/>
    </w:rPr>
  </w:style>
  <w:style w:type="character" w:customStyle="1" w:styleId="af7">
    <w:name w:val="Основной текст_"/>
    <w:basedOn w:val="a0"/>
    <w:link w:val="11"/>
    <w:rPr>
      <w:spacing w:val="7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af8">
    <w:name w:val="Основной текст Знак"/>
    <w:basedOn w:val="a0"/>
    <w:link w:val="af9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Title"/>
    <w:basedOn w:val="a"/>
    <w:next w:val="af9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9">
    <w:name w:val="Body Text"/>
    <w:basedOn w:val="a"/>
    <w:link w:val="af8"/>
    <w:pPr>
      <w:tabs>
        <w:tab w:val="right" w:pos="9360"/>
      </w:tabs>
      <w:jc w:val="center"/>
    </w:pPr>
    <w:rPr>
      <w:sz w:val="28"/>
      <w:szCs w:val="28"/>
      <w:lang w:eastAsia="ar-SA"/>
    </w:rPr>
  </w:style>
  <w:style w:type="paragraph" w:styleId="afd">
    <w:name w:val="List"/>
    <w:basedOn w:val="af9"/>
    <w:rPr>
      <w:rFonts w:cs="Noto Sans"/>
    </w:rPr>
  </w:style>
  <w:style w:type="paragraph" w:styleId="ae">
    <w:name w:val="caption"/>
    <w:basedOn w:val="a"/>
    <w:link w:val="ad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styleId="afe">
    <w:name w:val="index heading"/>
    <w:basedOn w:val="a4"/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0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paragraph" w:styleId="af4">
    <w:name w:val="endnote text"/>
    <w:basedOn w:val="a"/>
    <w:link w:val="af3"/>
    <w:uiPriority w:val="99"/>
    <w:semiHidden/>
    <w:unhideWhenUsed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</w:style>
  <w:style w:type="paragraph" w:customStyle="1" w:styleId="11">
    <w:name w:val="Основной текст1"/>
    <w:basedOn w:val="a"/>
    <w:link w:val="af7"/>
    <w:qFormat/>
    <w:pPr>
      <w:widowControl w:val="0"/>
      <w:shd w:val="clear" w:color="auto" w:fill="FFFFFF"/>
      <w:spacing w:before="60" w:after="780" w:line="0" w:lineRule="atLeast"/>
      <w:ind w:hanging="420"/>
      <w:jc w:val="center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paragraph" w:customStyle="1" w:styleId="ListParagraph1">
    <w:name w:val="List Paragraph1"/>
    <w:basedOn w:val="a"/>
    <w:qFormat/>
    <w:pPr>
      <w:ind w:left="720"/>
      <w:jc w:val="both"/>
    </w:pPr>
    <w:rPr>
      <w:rFonts w:eastAsia="Calibri"/>
      <w:sz w:val="20"/>
      <w:szCs w:val="20"/>
      <w:lang w:eastAsia="hi-IN" w:bidi="hi-IN"/>
    </w:rPr>
  </w:style>
  <w:style w:type="paragraph" w:customStyle="1" w:styleId="ListParagraph2">
    <w:name w:val="List Paragraph2"/>
    <w:basedOn w:val="a"/>
    <w:qFormat/>
    <w:pPr>
      <w:spacing w:line="100" w:lineRule="atLeast"/>
      <w:ind w:left="720"/>
    </w:pPr>
    <w:rPr>
      <w:lang w:val="en-US" w:eastAsia="ar-SA"/>
    </w:rPr>
  </w:style>
  <w:style w:type="paragraph" w:styleId="aff2">
    <w:name w:val="List Paragraph"/>
    <w:basedOn w:val="a"/>
    <w:uiPriority w:val="34"/>
    <w:qFormat/>
    <w:pPr>
      <w:spacing w:line="360" w:lineRule="auto"/>
      <w:ind w:left="708" w:firstLine="567"/>
      <w:jc w:val="both"/>
    </w:pPr>
    <w:rPr>
      <w:sz w:val="22"/>
      <w:szCs w:val="22"/>
      <w:lang w:eastAsia="ar-SA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numbering" w:customStyle="1" w:styleId="aff3">
    <w:name w:val="Без списка"/>
    <w:uiPriority w:val="99"/>
    <w:semiHidden/>
    <w:unhideWhenUsed/>
    <w:qFormat/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paragraph" w:customStyle="1" w:styleId="210">
    <w:name w:val="Основной текст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right="5176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B61E2-4566-46A2-9FB2-ADE3FB029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916</Words>
  <Characters>5226</Characters>
  <Application>Microsoft Office Word</Application>
  <DocSecurity>0</DocSecurity>
  <Lines>43</Lines>
  <Paragraphs>12</Paragraphs>
  <ScaleCrop>false</ScaleCrop>
  <Company>HP Inc.</Company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Собенников Сергей Александрович</dc:creator>
  <dc:description/>
  <cp:lastModifiedBy>Назин Петр Геннадиевич</cp:lastModifiedBy>
  <cp:revision>11</cp:revision>
  <dcterms:created xsi:type="dcterms:W3CDTF">2024-10-04T06:23:00Z</dcterms:created>
  <dcterms:modified xsi:type="dcterms:W3CDTF">2026-10-14T06:29:00Z</dcterms:modified>
  <dc:language>ru-RU</dc:language>
</cp:coreProperties>
</file>